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36" w:rsidRPr="00AA7DFD" w:rsidRDefault="001922BC" w:rsidP="00062B4C">
      <w:pPr>
        <w:pStyle w:val="NormlWeb"/>
        <w:spacing w:after="0" w:afterAutospacing="0" w:line="360" w:lineRule="auto"/>
        <w:jc w:val="center"/>
        <w:rPr>
          <w:b/>
          <w:sz w:val="36"/>
          <w:szCs w:val="36"/>
        </w:rPr>
      </w:pPr>
      <w:r w:rsidRPr="00AA7DFD">
        <w:rPr>
          <w:b/>
          <w:sz w:val="36"/>
          <w:szCs w:val="36"/>
        </w:rPr>
        <w:t xml:space="preserve">Die </w:t>
      </w:r>
      <w:r w:rsidR="00A75240" w:rsidRPr="00AA7DFD">
        <w:rPr>
          <w:b/>
          <w:sz w:val="36"/>
          <w:szCs w:val="36"/>
        </w:rPr>
        <w:t>Schicksalsschläge</w:t>
      </w:r>
      <w:r w:rsidRPr="00AA7DFD">
        <w:rPr>
          <w:b/>
          <w:sz w:val="36"/>
          <w:szCs w:val="36"/>
        </w:rPr>
        <w:t xml:space="preserve"> der in Minderheit geratenen Ungarn 1944-1946</w:t>
      </w:r>
    </w:p>
    <w:p w:rsidR="00993FC9" w:rsidRPr="0073637A" w:rsidRDefault="00527261" w:rsidP="00062B4C">
      <w:pPr>
        <w:pStyle w:val="NormlWeb"/>
        <w:numPr>
          <w:ilvl w:val="0"/>
          <w:numId w:val="2"/>
        </w:numPr>
        <w:spacing w:before="0" w:beforeAutospacing="0" w:after="0" w:afterAutospacing="0" w:line="360" w:lineRule="auto"/>
        <w:jc w:val="both"/>
      </w:pPr>
      <w:r w:rsidRPr="0073637A">
        <w:t>Einführung</w:t>
      </w:r>
    </w:p>
    <w:p w:rsidR="00F73136" w:rsidRPr="0073637A" w:rsidRDefault="00A75240" w:rsidP="00062B4C">
      <w:pPr>
        <w:pStyle w:val="NormlWeb"/>
        <w:spacing w:before="0" w:beforeAutospacing="0" w:after="0" w:afterAutospacing="0" w:line="360" w:lineRule="auto"/>
        <w:jc w:val="both"/>
      </w:pPr>
      <w:r w:rsidRPr="0073637A">
        <w:t xml:space="preserve">Infolge des Vertrags von Trianon im Jahr 1920 wurde etwa ein Drittel der Ungarn – insgesamt mehr als 3 Millionen – Bürger der Nachbarländer des neuen Ungarns. Diese Situation </w:t>
      </w:r>
      <w:r w:rsidR="00993FC9" w:rsidRPr="0073637A">
        <w:t>ver</w:t>
      </w:r>
      <w:r w:rsidRPr="0073637A">
        <w:t>änderte sich zwischen 1938 und 1941</w:t>
      </w:r>
      <w:r w:rsidR="00993FC9" w:rsidRPr="0073637A">
        <w:t xml:space="preserve"> in vier Schritten</w:t>
      </w:r>
      <w:r w:rsidRPr="0073637A">
        <w:t>,</w:t>
      </w:r>
      <w:r w:rsidR="00993FC9" w:rsidRPr="0073637A">
        <w:t xml:space="preserve"> Ungarn bekam einen Teil Oberungarns, die Karpato-Ukraine, Nordsiebenbürgen und einige Gebiete in den einstigen südlichen Region Ungarns. Die zurückgeschlossenen Gebiete</w:t>
      </w:r>
      <w:r w:rsidRPr="0073637A">
        <w:t xml:space="preserve"> wurden nach 1945 – mit einem kleinen Unterschied – </w:t>
      </w:r>
      <w:r w:rsidR="00993FC9" w:rsidRPr="0073637A">
        <w:t>erneut abgetrennt und die Grenzen von 1920 wieder</w:t>
      </w:r>
      <w:r w:rsidRPr="0073637A">
        <w:t>hergestellt.</w:t>
      </w:r>
    </w:p>
    <w:p w:rsidR="004062E4" w:rsidRPr="0073637A" w:rsidRDefault="004062E4" w:rsidP="00062B4C">
      <w:pPr>
        <w:pStyle w:val="NormlWeb"/>
        <w:spacing w:before="0" w:beforeAutospacing="0" w:after="0" w:afterAutospacing="0" w:line="360" w:lineRule="auto"/>
        <w:jc w:val="both"/>
      </w:pPr>
      <w:r w:rsidRPr="0073637A">
        <w:t>Die territorialen Veränderungen während des Zweiten Weltkriegs waren zu einem großen Teil den dortigen nationalen Minderheiten zu verdanken, so dass sie nach dem Krieg auch unter dem Gesichtspunkt der Macht als Bedrohungsgruppe galten.</w:t>
      </w:r>
      <w:r w:rsidR="00527261" w:rsidRPr="0073637A">
        <w:t xml:space="preserve"> </w:t>
      </w:r>
      <w:r w:rsidRPr="0073637A">
        <w:t>Das allgemeine Ziel der Nachbarländer war einen einheitlichen, reinen Nationalstaat zu bilden. Deshalb mussten die Ungarn entweder entfernt werden oder die Möglichkeit ihre Identität zu bewahren und</w:t>
      </w:r>
      <w:r w:rsidR="00AC0150">
        <w:t xml:space="preserve"> zu</w:t>
      </w:r>
      <w:r w:rsidRPr="0073637A">
        <w:t xml:space="preserve"> pflegen wurde eingeschränkt.</w:t>
      </w:r>
    </w:p>
    <w:p w:rsidR="004062E4" w:rsidRPr="0073637A" w:rsidRDefault="004062E4" w:rsidP="00062B4C">
      <w:pPr>
        <w:pStyle w:val="NormlWeb"/>
        <w:spacing w:before="0" w:beforeAutospacing="0" w:after="0" w:afterAutospacing="0" w:line="360" w:lineRule="auto"/>
        <w:jc w:val="both"/>
      </w:pPr>
      <w:r w:rsidRPr="0073637A">
        <w:t>Die Unterdrückung von Minderheiten begann schon vor der kommunistischen Machtübernahme – zum Beispiel im Fall der Tschechoslowakei.</w:t>
      </w:r>
    </w:p>
    <w:p w:rsidR="00527261" w:rsidRPr="00231B8B" w:rsidRDefault="00527261" w:rsidP="00062B4C">
      <w:pPr>
        <w:spacing w:after="0" w:line="360" w:lineRule="auto"/>
        <w:jc w:val="both"/>
        <w:rPr>
          <w:lang w:val="de-DE"/>
        </w:rPr>
      </w:pPr>
    </w:p>
    <w:p w:rsidR="00012F06" w:rsidRPr="00231B8B" w:rsidRDefault="00012F06" w:rsidP="00062B4C">
      <w:pPr>
        <w:pStyle w:val="Listaszerbekezds"/>
        <w:numPr>
          <w:ilvl w:val="0"/>
          <w:numId w:val="2"/>
        </w:numPr>
        <w:spacing w:after="0" w:line="360" w:lineRule="auto"/>
        <w:jc w:val="both"/>
        <w:rPr>
          <w:lang w:val="de-DE"/>
        </w:rPr>
      </w:pPr>
      <w:r w:rsidRPr="00231B8B">
        <w:rPr>
          <w:lang w:val="de-DE"/>
        </w:rPr>
        <w:t xml:space="preserve">In der Tschechoslowakei </w:t>
      </w:r>
    </w:p>
    <w:p w:rsidR="00947D18" w:rsidRPr="00231B8B" w:rsidRDefault="00947D18" w:rsidP="00062B4C">
      <w:pPr>
        <w:pStyle w:val="NormlWeb"/>
        <w:shd w:val="clear" w:color="auto" w:fill="FFFFFF"/>
        <w:spacing w:before="0" w:beforeAutospacing="0" w:after="0" w:afterAutospacing="0" w:line="360" w:lineRule="auto"/>
        <w:jc w:val="both"/>
        <w:rPr>
          <w:color w:val="2D2D2D"/>
        </w:rPr>
      </w:pPr>
      <w:r w:rsidRPr="00231B8B">
        <w:rPr>
          <w:rStyle w:val="Kiemels2"/>
          <w:color w:val="2D2D2D"/>
        </w:rPr>
        <w:t>Die Neugründung der Tschechoslowakei</w:t>
      </w:r>
      <w:r w:rsidRPr="00231B8B">
        <w:rPr>
          <w:color w:val="2D2D2D"/>
        </w:rPr>
        <w:t xml:space="preserve"> </w:t>
      </w:r>
      <w:r w:rsidRPr="00231B8B">
        <w:rPr>
          <w:color w:val="2D2D2D"/>
        </w:rPr>
        <w:t>wurde im April 1945 in Kassa von aus der Emigration zurückkehrenden tschechischen und slowakischen Politikern verkündet</w:t>
      </w:r>
      <w:r w:rsidRPr="00231B8B">
        <w:rPr>
          <w:color w:val="2D2D2D"/>
        </w:rPr>
        <w:t xml:space="preserve">. </w:t>
      </w:r>
      <w:r w:rsidRPr="00231B8B">
        <w:rPr>
          <w:color w:val="2D2D2D"/>
        </w:rPr>
        <w:t>Gemäß ihrem formulierten</w:t>
      </w:r>
      <w:r w:rsidRPr="00231B8B">
        <w:rPr>
          <w:color w:val="2D2D2D"/>
        </w:rPr>
        <w:t xml:space="preserve"> </w:t>
      </w:r>
      <w:r w:rsidRPr="00231B8B">
        <w:rPr>
          <w:rStyle w:val="Kiemels2"/>
          <w:color w:val="2D2D2D"/>
        </w:rPr>
        <w:t>Regierungsprogramm</w:t>
      </w:r>
      <w:r w:rsidRPr="00231B8B">
        <w:rPr>
          <w:color w:val="2D2D2D"/>
        </w:rPr>
        <w:t xml:space="preserve"> </w:t>
      </w:r>
      <w:r w:rsidRPr="00231B8B">
        <w:rPr>
          <w:color w:val="2D2D2D"/>
        </w:rPr>
        <w:t>sollte die Tschechoslowakei ein rein slawischer Staat werden.</w:t>
      </w:r>
      <w:r w:rsidRPr="00231B8B">
        <w:rPr>
          <w:color w:val="2D2D2D"/>
        </w:rPr>
        <w:t xml:space="preserve"> </w:t>
      </w:r>
      <w:r w:rsidRPr="00231B8B">
        <w:rPr>
          <w:color w:val="2D2D2D"/>
        </w:rPr>
        <w:t>Sie wollten die im Land lebenden Ungarn und Deutschen nach dem</w:t>
      </w:r>
      <w:r w:rsidRPr="00231B8B">
        <w:rPr>
          <w:color w:val="2D2D2D"/>
        </w:rPr>
        <w:t xml:space="preserve"> </w:t>
      </w:r>
      <w:r w:rsidRPr="00231B8B">
        <w:rPr>
          <w:rStyle w:val="Kiemels2"/>
          <w:color w:val="2D2D2D"/>
        </w:rPr>
        <w:t>Prinzip der Kollektivschuld</w:t>
      </w:r>
      <w:r w:rsidRPr="00231B8B">
        <w:rPr>
          <w:color w:val="2D2D2D"/>
        </w:rPr>
        <w:t xml:space="preserve"> vertreiben</w:t>
      </w:r>
      <w:r w:rsidRPr="00231B8B">
        <w:rPr>
          <w:color w:val="2D2D2D"/>
        </w:rPr>
        <w:t>.</w:t>
      </w:r>
      <w:r w:rsidRPr="00231B8B">
        <w:rPr>
          <w:color w:val="2D2D2D"/>
        </w:rPr>
        <w:t xml:space="preserve"> </w:t>
      </w:r>
      <w:r w:rsidRPr="00231B8B">
        <w:rPr>
          <w:color w:val="2D2D2D"/>
        </w:rPr>
        <w:t>Innerhalb weniger Monate wurden 600-700.000 Deutsche aus dem Land vertrieben.</w:t>
      </w:r>
    </w:p>
    <w:p w:rsidR="003B0C5A" w:rsidRPr="00231B8B" w:rsidRDefault="00947D18" w:rsidP="00062B4C">
      <w:pPr>
        <w:pStyle w:val="NormlWeb"/>
        <w:shd w:val="clear" w:color="auto" w:fill="FFFFFF"/>
        <w:spacing w:before="0" w:beforeAutospacing="0" w:after="0" w:afterAutospacing="0" w:line="360" w:lineRule="auto"/>
        <w:jc w:val="both"/>
        <w:rPr>
          <w:color w:val="2D2D2D"/>
        </w:rPr>
      </w:pPr>
      <w:r w:rsidRPr="00231B8B">
        <w:rPr>
          <w:rStyle w:val="Kiemels2"/>
          <w:color w:val="2D2D2D"/>
        </w:rPr>
        <w:t>Der tschechoslowakische Präsident Eduard Beneš</w:t>
      </w:r>
      <w:r w:rsidR="00122144" w:rsidRPr="00231B8B">
        <w:rPr>
          <w:color w:val="2D2D2D"/>
        </w:rPr>
        <w:t xml:space="preserve"> </w:t>
      </w:r>
      <w:r w:rsidRPr="00231B8B">
        <w:rPr>
          <w:color w:val="2D2D2D"/>
        </w:rPr>
        <w:t>erließ</w:t>
      </w:r>
      <w:r w:rsidR="00122144" w:rsidRPr="00231B8B">
        <w:rPr>
          <w:color w:val="2D2D2D"/>
        </w:rPr>
        <w:t xml:space="preserve"> </w:t>
      </w:r>
      <w:r w:rsidRPr="00231B8B">
        <w:rPr>
          <w:color w:val="2D2D2D"/>
        </w:rPr>
        <w:t>zwischen Mai und Oktober 1945</w:t>
      </w:r>
      <w:r w:rsidR="00122144" w:rsidRPr="00231B8B">
        <w:rPr>
          <w:color w:val="2D2D2D"/>
        </w:rPr>
        <w:t xml:space="preserve"> </w:t>
      </w:r>
      <w:r w:rsidRPr="00231B8B">
        <w:rPr>
          <w:rStyle w:val="Kiemels2"/>
          <w:color w:val="2D2D2D"/>
        </w:rPr>
        <w:t>Dekrete.</w:t>
      </w:r>
      <w:r w:rsidR="00122144" w:rsidRPr="00231B8B">
        <w:rPr>
          <w:rStyle w:val="Kiemels2"/>
          <w:color w:val="2D2D2D"/>
        </w:rPr>
        <w:t xml:space="preserve"> </w:t>
      </w:r>
      <w:r w:rsidRPr="00231B8B">
        <w:rPr>
          <w:color w:val="2D2D2D"/>
        </w:rPr>
        <w:t>In diesen Dekreten machte der Präsident</w:t>
      </w:r>
      <w:r w:rsidR="00122144" w:rsidRPr="00231B8B">
        <w:rPr>
          <w:color w:val="2D2D2D"/>
        </w:rPr>
        <w:t xml:space="preserve"> </w:t>
      </w:r>
      <w:r w:rsidRPr="00231B8B">
        <w:rPr>
          <w:rStyle w:val="Kiemels2"/>
          <w:color w:val="2D2D2D"/>
        </w:rPr>
        <w:t>die ungarischen und deutschen Minderheiten für den Zerfall der Tschechoslowakei verantwortlich.</w:t>
      </w:r>
      <w:r w:rsidR="00122144" w:rsidRPr="00231B8B">
        <w:rPr>
          <w:rStyle w:val="Kiemels2"/>
          <w:color w:val="2D2D2D"/>
        </w:rPr>
        <w:t xml:space="preserve"> </w:t>
      </w:r>
      <w:r w:rsidRPr="00231B8B">
        <w:rPr>
          <w:color w:val="2D2D2D"/>
        </w:rPr>
        <w:t>Daher verweigerten die Dekrete den Angehörigen der deutschen und ungarischen Minderheit die Staatsbürgerschaft, beschlagnahmten ihr Eigentum</w:t>
      </w:r>
      <w:r w:rsidR="00E1548A" w:rsidRPr="00231B8B">
        <w:rPr>
          <w:color w:val="2D2D2D"/>
        </w:rPr>
        <w:t xml:space="preserve"> und sahen die Zwangsaussiedlung sowohl der deutschen als auch der ungarischen Minderheit </w:t>
      </w:r>
      <w:r w:rsidRPr="00231B8B">
        <w:rPr>
          <w:color w:val="2D2D2D"/>
        </w:rPr>
        <w:t>vor.</w:t>
      </w:r>
      <w:r w:rsidR="00E1548A" w:rsidRPr="00231B8B">
        <w:rPr>
          <w:color w:val="2D2D2D"/>
        </w:rPr>
        <w:t xml:space="preserve"> </w:t>
      </w:r>
      <w:r w:rsidR="003B0C5A" w:rsidRPr="00231B8B">
        <w:rPr>
          <w:color w:val="2D2D2D"/>
        </w:rPr>
        <w:t xml:space="preserve">Die Potsdamer Konferenz der im Zweiten Weltkrieg siegreichen Großmächte (17. Juli bis 2. August 1945) </w:t>
      </w:r>
      <w:r w:rsidR="00E1548A" w:rsidRPr="00231B8B">
        <w:rPr>
          <w:color w:val="2D2D2D"/>
        </w:rPr>
        <w:t xml:space="preserve">ermöglichte die Aussiedlung der Deutschen aus Polen, aus der Tschechoslowakei und aus Ungarn, aber </w:t>
      </w:r>
      <w:r w:rsidR="003B0C5A" w:rsidRPr="00231B8B">
        <w:rPr>
          <w:color w:val="2D2D2D"/>
        </w:rPr>
        <w:t xml:space="preserve">lehnte </w:t>
      </w:r>
      <w:r w:rsidR="003B0C5A" w:rsidRPr="00231B8B">
        <w:rPr>
          <w:color w:val="2D2D2D"/>
        </w:rPr>
        <w:lastRenderedPageBreak/>
        <w:t xml:space="preserve">den tschechoslowakischen Antrag auf </w:t>
      </w:r>
      <w:r w:rsidR="00E1548A" w:rsidRPr="00231B8B">
        <w:rPr>
          <w:color w:val="2D2D2D"/>
        </w:rPr>
        <w:t xml:space="preserve">die </w:t>
      </w:r>
      <w:r w:rsidR="00D5549A" w:rsidRPr="00231B8B">
        <w:rPr>
          <w:color w:val="2D2D2D"/>
        </w:rPr>
        <w:t>Umsiedlung</w:t>
      </w:r>
      <w:r w:rsidR="003B0C5A" w:rsidRPr="00231B8B">
        <w:rPr>
          <w:color w:val="2D2D2D"/>
        </w:rPr>
        <w:t xml:space="preserve"> der ungarischen </w:t>
      </w:r>
      <w:r w:rsidR="00E1548A" w:rsidRPr="00231B8B">
        <w:rPr>
          <w:color w:val="2D2D2D"/>
        </w:rPr>
        <w:t>Minderheit aus der Tschechoslowakei</w:t>
      </w:r>
      <w:r w:rsidR="003B0C5A" w:rsidRPr="00231B8B">
        <w:rPr>
          <w:color w:val="2D2D2D"/>
        </w:rPr>
        <w:t xml:space="preserve"> ab.</w:t>
      </w:r>
      <w:r w:rsidR="00E1548A" w:rsidRPr="00231B8B">
        <w:rPr>
          <w:color w:val="2D2D2D"/>
        </w:rPr>
        <w:t xml:space="preserve"> </w:t>
      </w:r>
      <w:r w:rsidR="00D5549A" w:rsidRPr="00231B8B">
        <w:rPr>
          <w:color w:val="2D2D2D"/>
        </w:rPr>
        <w:t>Die beiden Länder mussten die Situation der Ungarn durch einen bilateralen Vertrag regeln.</w:t>
      </w:r>
    </w:p>
    <w:p w:rsidR="00231B8B" w:rsidRPr="00231B8B" w:rsidRDefault="00D5549A" w:rsidP="00062B4C">
      <w:pPr>
        <w:spacing w:after="0" w:line="360" w:lineRule="auto"/>
        <w:jc w:val="both"/>
        <w:rPr>
          <w:color w:val="2D2D2D"/>
          <w:shd w:val="clear" w:color="auto" w:fill="FFFFFF"/>
          <w:lang w:val="de-DE"/>
        </w:rPr>
      </w:pPr>
      <w:r w:rsidRPr="00231B8B">
        <w:rPr>
          <w:color w:val="2D2D2D"/>
          <w:shd w:val="clear" w:color="auto" w:fill="FFFFFF"/>
          <w:lang w:val="de-DE"/>
        </w:rPr>
        <w:t>D</w:t>
      </w:r>
      <w:r w:rsidR="00947D18" w:rsidRPr="00231B8B">
        <w:rPr>
          <w:color w:val="2D2D2D"/>
          <w:shd w:val="clear" w:color="auto" w:fill="FFFFFF"/>
          <w:lang w:val="de-DE"/>
        </w:rPr>
        <w:t xml:space="preserve">ie tschechoslowakische Regierung </w:t>
      </w:r>
      <w:r w:rsidRPr="00231B8B">
        <w:rPr>
          <w:color w:val="2D2D2D"/>
          <w:shd w:val="clear" w:color="auto" w:fill="FFFFFF"/>
          <w:lang w:val="de-DE"/>
        </w:rPr>
        <w:t xml:space="preserve">erpresste </w:t>
      </w:r>
      <w:r w:rsidR="00947D18" w:rsidRPr="00231B8B">
        <w:rPr>
          <w:color w:val="2D2D2D"/>
          <w:shd w:val="clear" w:color="auto" w:fill="FFFFFF"/>
          <w:lang w:val="de-DE"/>
        </w:rPr>
        <w:t>die ungarische Regierung zum Abschluss</w:t>
      </w:r>
      <w:r w:rsidR="00122144" w:rsidRPr="00231B8B">
        <w:rPr>
          <w:color w:val="2D2D2D"/>
          <w:shd w:val="clear" w:color="auto" w:fill="FFFFFF"/>
          <w:lang w:val="de-DE"/>
        </w:rPr>
        <w:t xml:space="preserve"> </w:t>
      </w:r>
      <w:r w:rsidR="00947D18" w:rsidRPr="00231B8B">
        <w:rPr>
          <w:rStyle w:val="Kiemels2"/>
          <w:color w:val="2D2D2D"/>
          <w:shd w:val="clear" w:color="auto" w:fill="FFFFFF"/>
          <w:lang w:val="de-DE"/>
        </w:rPr>
        <w:t>eines</w:t>
      </w:r>
      <w:r w:rsidRPr="00231B8B">
        <w:rPr>
          <w:rStyle w:val="Kiemels2"/>
          <w:color w:val="2D2D2D"/>
          <w:shd w:val="clear" w:color="auto" w:fill="FFFFFF"/>
          <w:lang w:val="de-DE"/>
        </w:rPr>
        <w:t xml:space="preserve"> Bevölkerungsaustauschabkommens</w:t>
      </w:r>
      <w:r w:rsidR="009D3501">
        <w:rPr>
          <w:rStyle w:val="Kiemels2"/>
          <w:color w:val="2D2D2D"/>
          <w:shd w:val="clear" w:color="auto" w:fill="FFFFFF"/>
          <w:lang w:val="de-DE"/>
        </w:rPr>
        <w:t>, i</w:t>
      </w:r>
      <w:r w:rsidRPr="009D3501">
        <w:rPr>
          <w:color w:val="2D2D2D"/>
          <w:shd w:val="clear" w:color="auto" w:fill="FFFFFF"/>
          <w:lang w:val="de-DE"/>
        </w:rPr>
        <w:t>ndem</w:t>
      </w:r>
      <w:r w:rsidRPr="00231B8B">
        <w:rPr>
          <w:color w:val="2D2D2D"/>
          <w:shd w:val="clear" w:color="auto" w:fill="FFFFFF"/>
          <w:lang w:val="de-DE"/>
        </w:rPr>
        <w:t xml:space="preserve"> sie Ungarn in </w:t>
      </w:r>
      <w:r w:rsidRPr="00231B8B">
        <w:rPr>
          <w:color w:val="2D2D2D"/>
          <w:shd w:val="clear" w:color="auto" w:fill="FFFFFF"/>
          <w:lang w:val="de-DE"/>
        </w:rPr>
        <w:t>die Tschechische Republik trieb.</w:t>
      </w:r>
      <w:r w:rsidRPr="00231B8B">
        <w:rPr>
          <w:color w:val="2D2D2D"/>
          <w:shd w:val="clear" w:color="auto" w:fill="FFFFFF"/>
          <w:lang w:val="de-DE"/>
        </w:rPr>
        <w:t xml:space="preserve"> </w:t>
      </w:r>
      <w:r w:rsidR="00231B8B" w:rsidRPr="00231B8B">
        <w:rPr>
          <w:color w:val="2D2D2D"/>
          <w:shd w:val="clear" w:color="auto" w:fill="FFFFFF"/>
          <w:lang w:val="de-DE"/>
        </w:rPr>
        <w:t xml:space="preserve">Zwischen dem 1. September und Dezember 1945 konnten nach dem Präsidialdekret 88/1945 Männer zwischen 16 und 55 Jahren und Frauen bis zum Alter von 18 </w:t>
      </w:r>
      <w:r w:rsidR="00231B8B">
        <w:rPr>
          <w:color w:val="2D2D2D"/>
          <w:shd w:val="clear" w:color="auto" w:fill="FFFFFF"/>
          <w:lang w:val="de-DE"/>
        </w:rPr>
        <w:t xml:space="preserve">bis 45 </w:t>
      </w:r>
      <w:r w:rsidR="00231B8B" w:rsidRPr="00231B8B">
        <w:rPr>
          <w:color w:val="2D2D2D"/>
          <w:shd w:val="clear" w:color="auto" w:fill="FFFFFF"/>
          <w:lang w:val="de-DE"/>
        </w:rPr>
        <w:t xml:space="preserve">Jahren in den entlegensten Teilen des Landes zum Zwangsarbeitsdienst eingeteilt werden. </w:t>
      </w:r>
      <w:r w:rsidR="00766661" w:rsidRPr="00231B8B">
        <w:rPr>
          <w:color w:val="2D2D2D"/>
          <w:shd w:val="clear" w:color="auto" w:fill="FFFFFF"/>
          <w:lang w:val="de-DE"/>
        </w:rPr>
        <w:t>Fast 10.000 Ungarn aus Oberungarn wurden zur öffentlichen Arbeit nach Tschechien gebracht. Infolge der Deportation der Deutschen hat sich der Arbeitskräftemangel in den tschec</w:t>
      </w:r>
      <w:r w:rsidR="00766661" w:rsidRPr="00231B8B">
        <w:rPr>
          <w:color w:val="2D2D2D"/>
          <w:shd w:val="clear" w:color="auto" w:fill="FFFFFF"/>
          <w:lang w:val="de-DE"/>
        </w:rPr>
        <w:t xml:space="preserve">hischen Landesteilen verschärft, </w:t>
      </w:r>
      <w:r w:rsidR="00766661" w:rsidRPr="00231B8B">
        <w:rPr>
          <w:color w:val="2D2D2D"/>
          <w:shd w:val="clear" w:color="auto" w:fill="FFFFFF"/>
          <w:lang w:val="de-DE"/>
        </w:rPr>
        <w:t>die ersetzt werden mussten.</w:t>
      </w:r>
      <w:r w:rsidR="00766661" w:rsidRPr="00231B8B">
        <w:rPr>
          <w:color w:val="2D2D2D"/>
          <w:shd w:val="clear" w:color="auto" w:fill="FFFFFF"/>
          <w:lang w:val="de-DE"/>
        </w:rPr>
        <w:t xml:space="preserve"> </w:t>
      </w:r>
    </w:p>
    <w:p w:rsidR="009E40F2" w:rsidRPr="00231B8B" w:rsidRDefault="00947D18" w:rsidP="00062B4C">
      <w:pPr>
        <w:spacing w:after="0" w:line="360" w:lineRule="auto"/>
        <w:jc w:val="both"/>
        <w:rPr>
          <w:color w:val="2D2D2D"/>
          <w:shd w:val="clear" w:color="auto" w:fill="FFFFFF"/>
          <w:lang w:val="de-DE"/>
        </w:rPr>
      </w:pPr>
      <w:r w:rsidRPr="00231B8B">
        <w:rPr>
          <w:color w:val="2D2D2D"/>
          <w:shd w:val="clear" w:color="auto" w:fill="FFFFFF"/>
          <w:lang w:val="de-DE"/>
        </w:rPr>
        <w:t xml:space="preserve">Gemäß der Vereinbarung </w:t>
      </w:r>
      <w:r w:rsidR="00766661" w:rsidRPr="00231B8B">
        <w:rPr>
          <w:color w:val="2D2D2D"/>
          <w:shd w:val="clear" w:color="auto" w:fill="FFFFFF"/>
          <w:lang w:val="de-DE"/>
        </w:rPr>
        <w:t xml:space="preserve">vom 27. Februar 1946 </w:t>
      </w:r>
      <w:r w:rsidRPr="00231B8B">
        <w:rPr>
          <w:color w:val="2D2D2D"/>
          <w:shd w:val="clear" w:color="auto" w:fill="FFFFFF"/>
          <w:lang w:val="de-DE"/>
        </w:rPr>
        <w:t>konnte die Tschechoslowakei so viele Ungarn in Ungarn umsiedeln, wie Slowaken in Ungarn freiwillig eine Umsiedlung in die Tschechoslowakei beantragen.</w:t>
      </w:r>
      <w:r w:rsidR="00122144" w:rsidRPr="00231B8B">
        <w:rPr>
          <w:color w:val="2D2D2D"/>
          <w:shd w:val="clear" w:color="auto" w:fill="FFFFFF"/>
          <w:lang w:val="de-DE"/>
        </w:rPr>
        <w:t xml:space="preserve"> </w:t>
      </w:r>
    </w:p>
    <w:p w:rsidR="009E40F2" w:rsidRPr="00231B8B" w:rsidRDefault="009E40F2" w:rsidP="00062B4C">
      <w:pPr>
        <w:spacing w:after="0" w:line="360" w:lineRule="auto"/>
        <w:jc w:val="both"/>
        <w:rPr>
          <w:color w:val="2D2D2D"/>
          <w:shd w:val="clear" w:color="auto" w:fill="FFFFFF"/>
          <w:lang w:val="de-DE"/>
        </w:rPr>
      </w:pPr>
      <w:r w:rsidRPr="00231B8B">
        <w:rPr>
          <w:color w:val="2D2D2D"/>
          <w:shd w:val="clear" w:color="auto" w:fill="FFFFFF"/>
          <w:lang w:val="de-DE"/>
        </w:rPr>
        <w:t>Das tschechoslowakische Umsiedlungskomitee</w:t>
      </w:r>
      <w:r w:rsidR="009D3501">
        <w:rPr>
          <w:color w:val="2D2D2D"/>
          <w:shd w:val="clear" w:color="auto" w:fill="FFFFFF"/>
          <w:lang w:val="de-DE"/>
        </w:rPr>
        <w:t xml:space="preserve"> / Csehszlovák Áttelepítési Bizottság /CSÁB</w:t>
      </w:r>
      <w:r w:rsidRPr="00231B8B">
        <w:rPr>
          <w:color w:val="2D2D2D"/>
          <w:shd w:val="clear" w:color="auto" w:fill="FFFFFF"/>
          <w:lang w:val="de-DE"/>
        </w:rPr>
        <w:t xml:space="preserve"> nahm am 4. März 1946 seine Tätigkeit in Ungarn auf. Die Mitglieder und Experten des Komitees besuchten alle Si</w:t>
      </w:r>
      <w:r w:rsidRPr="00231B8B">
        <w:rPr>
          <w:color w:val="2D2D2D"/>
          <w:shd w:val="clear" w:color="auto" w:fill="FFFFFF"/>
          <w:lang w:val="de-DE"/>
        </w:rPr>
        <w:t>edlungen in Ungarn, in denen</w:t>
      </w:r>
      <w:r w:rsidRPr="00231B8B">
        <w:rPr>
          <w:color w:val="2D2D2D"/>
          <w:shd w:val="clear" w:color="auto" w:fill="FFFFFF"/>
          <w:lang w:val="de-DE"/>
        </w:rPr>
        <w:t xml:space="preserve"> slowakische Bevölkeru</w:t>
      </w:r>
      <w:r w:rsidRPr="00231B8B">
        <w:rPr>
          <w:color w:val="2D2D2D"/>
          <w:shd w:val="clear" w:color="auto" w:fill="FFFFFF"/>
          <w:lang w:val="de-DE"/>
        </w:rPr>
        <w:t xml:space="preserve">ng lebte. Es wurden </w:t>
      </w:r>
      <w:r w:rsidRPr="00231B8B">
        <w:rPr>
          <w:color w:val="2D2D2D"/>
          <w:shd w:val="clear" w:color="auto" w:fill="FFFFFF"/>
          <w:lang w:val="de-DE"/>
        </w:rPr>
        <w:t>Vorträge organisiert,</w:t>
      </w:r>
      <w:r w:rsidRPr="00231B8B">
        <w:rPr>
          <w:color w:val="2D2D2D"/>
          <w:shd w:val="clear" w:color="auto" w:fill="FFFFFF"/>
          <w:lang w:val="de-DE"/>
        </w:rPr>
        <w:t xml:space="preserve"> </w:t>
      </w:r>
      <w:r w:rsidRPr="00231B8B">
        <w:rPr>
          <w:color w:val="2D2D2D"/>
          <w:shd w:val="clear" w:color="auto" w:fill="FFFFFF"/>
          <w:lang w:val="de-DE"/>
        </w:rPr>
        <w:t>Gruppen- und Einzeldiskussionen abgehalten und schriftliches Propagandamaterial unter der slowakischen Bevölkerung verteilt. Der CSÁB führte in 157 Dörfern Propaganda durch.</w:t>
      </w:r>
      <w:r w:rsidRPr="00231B8B">
        <w:rPr>
          <w:color w:val="2D2D2D"/>
          <w:shd w:val="clear" w:color="auto" w:fill="FFFFFF"/>
          <w:lang w:val="de-DE"/>
        </w:rPr>
        <w:t xml:space="preserve"> </w:t>
      </w:r>
    </w:p>
    <w:p w:rsidR="009E40F2" w:rsidRPr="00231B8B" w:rsidRDefault="009E40F2" w:rsidP="00062B4C">
      <w:pPr>
        <w:spacing w:after="0" w:line="360" w:lineRule="auto"/>
        <w:jc w:val="both"/>
        <w:rPr>
          <w:color w:val="2D2D2D"/>
          <w:shd w:val="clear" w:color="auto" w:fill="FFFFFF"/>
          <w:lang w:val="de-DE"/>
        </w:rPr>
      </w:pPr>
      <w:r w:rsidRPr="00231B8B">
        <w:rPr>
          <w:color w:val="2D2D2D"/>
          <w:shd w:val="clear" w:color="auto" w:fill="FFFFFF"/>
          <w:lang w:val="de-DE"/>
        </w:rPr>
        <w:t>Die tschechoslowakische Regierung hat eine Liste der zur Deportation</w:t>
      </w:r>
      <w:r w:rsidR="009D3501">
        <w:rPr>
          <w:color w:val="2D2D2D"/>
          <w:shd w:val="clear" w:color="auto" w:fill="FFFFFF"/>
          <w:lang w:val="de-DE"/>
        </w:rPr>
        <w:t xml:space="preserve"> bestimmten Ungarn aus Oberungarn</w:t>
      </w:r>
      <w:r w:rsidRPr="00231B8B">
        <w:rPr>
          <w:color w:val="2D2D2D"/>
          <w:shd w:val="clear" w:color="auto" w:fill="FFFFFF"/>
          <w:lang w:val="de-DE"/>
        </w:rPr>
        <w:t xml:space="preserve"> nach Bezirken</w:t>
      </w:r>
      <w:r w:rsidR="009D3501">
        <w:rPr>
          <w:color w:val="2D2D2D"/>
          <w:shd w:val="clear" w:color="auto" w:fill="FFFFFF"/>
          <w:lang w:val="de-DE"/>
        </w:rPr>
        <w:t xml:space="preserve"> </w:t>
      </w:r>
      <w:r w:rsidR="009D3501" w:rsidRPr="00231B8B">
        <w:rPr>
          <w:color w:val="2D2D2D"/>
          <w:shd w:val="clear" w:color="auto" w:fill="FFFFFF"/>
          <w:lang w:val="de-DE"/>
        </w:rPr>
        <w:t>erstellt</w:t>
      </w:r>
      <w:r w:rsidRPr="00231B8B">
        <w:rPr>
          <w:color w:val="2D2D2D"/>
          <w:shd w:val="clear" w:color="auto" w:fill="FFFFFF"/>
          <w:lang w:val="de-DE"/>
        </w:rPr>
        <w:t>.</w:t>
      </w:r>
    </w:p>
    <w:p w:rsidR="00592E9D" w:rsidRDefault="00592E9D" w:rsidP="00062B4C">
      <w:pPr>
        <w:spacing w:line="360" w:lineRule="auto"/>
        <w:jc w:val="both"/>
        <w:rPr>
          <w:color w:val="2D2D2D"/>
          <w:sz w:val="20"/>
          <w:szCs w:val="20"/>
          <w:shd w:val="clear" w:color="auto" w:fill="FFFFFF"/>
          <w:lang w:val="de-DE"/>
        </w:rPr>
        <w:sectPr w:rsidR="00592E9D">
          <w:footerReference w:type="default" r:id="rId8"/>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1838"/>
        <w:gridCol w:w="2334"/>
      </w:tblGrid>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D2D2D"/>
                <w:sz w:val="20"/>
                <w:szCs w:val="20"/>
                <w:shd w:val="clear" w:color="auto" w:fill="FFFFFF"/>
                <w:lang w:val="de-DE"/>
              </w:rPr>
              <w:lastRenderedPageBreak/>
              <w:t>Bezirke</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D2D2D"/>
                <w:sz w:val="20"/>
                <w:szCs w:val="20"/>
                <w:shd w:val="clear" w:color="auto" w:fill="FFFFFF"/>
                <w:lang w:val="de-DE"/>
              </w:rPr>
              <w:t>Anteil des Ungarntums, der zur Aussiedlung vorgesehen war</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Dunaszerdahely</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43,1%</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Érsekújvár</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22,6%</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Galánta</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25,1%-</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Kassa</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34,8%</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Komárom</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54,1%</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lastRenderedPageBreak/>
              <w:t>Ipolyság</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38,4%</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Léva</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32,4%</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Ógyalla</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44,5%</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Párkány</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36,4%</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Somorja</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31,1%</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Vágsellye</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29,9%</w:t>
            </w:r>
          </w:p>
        </w:tc>
      </w:tr>
      <w:tr w:rsidR="00A53F9A" w:rsidRPr="00592E9D" w:rsidTr="00592E9D">
        <w:tc>
          <w:tcPr>
            <w:tcW w:w="1838"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Zseliz</w:t>
            </w:r>
          </w:p>
        </w:tc>
        <w:tc>
          <w:tcPr>
            <w:tcW w:w="2334" w:type="dxa"/>
          </w:tcPr>
          <w:p w:rsidR="00A53F9A" w:rsidRPr="00592E9D" w:rsidRDefault="00A53F9A" w:rsidP="00062B4C">
            <w:pPr>
              <w:spacing w:line="360" w:lineRule="auto"/>
              <w:jc w:val="both"/>
              <w:rPr>
                <w:color w:val="2D2D2D"/>
                <w:sz w:val="20"/>
                <w:szCs w:val="20"/>
                <w:shd w:val="clear" w:color="auto" w:fill="FFFFFF"/>
                <w:lang w:val="de-DE"/>
              </w:rPr>
            </w:pPr>
            <w:r w:rsidRPr="00592E9D">
              <w:rPr>
                <w:color w:val="231F20"/>
                <w:sz w:val="20"/>
                <w:szCs w:val="20"/>
                <w:lang w:val="de-DE"/>
              </w:rPr>
              <w:t>40,5%-</w:t>
            </w:r>
          </w:p>
        </w:tc>
      </w:tr>
    </w:tbl>
    <w:p w:rsidR="00592E9D" w:rsidRDefault="00592E9D" w:rsidP="00062B4C">
      <w:pPr>
        <w:spacing w:after="0" w:line="360" w:lineRule="auto"/>
        <w:jc w:val="both"/>
        <w:rPr>
          <w:color w:val="2D2D2D"/>
          <w:shd w:val="clear" w:color="auto" w:fill="FFFFFF"/>
          <w:lang w:val="de-DE"/>
        </w:rPr>
        <w:sectPr w:rsidR="00592E9D" w:rsidSect="00592E9D">
          <w:type w:val="continuous"/>
          <w:pgSz w:w="11906" w:h="16838"/>
          <w:pgMar w:top="1417" w:right="1417" w:bottom="1417" w:left="1417" w:header="708" w:footer="708" w:gutter="0"/>
          <w:cols w:num="2" w:space="708"/>
          <w:docGrid w:linePitch="360"/>
        </w:sectPr>
      </w:pPr>
    </w:p>
    <w:p w:rsidR="009E40F2" w:rsidRDefault="009E40F2" w:rsidP="00062B4C">
      <w:pPr>
        <w:spacing w:after="0" w:line="360" w:lineRule="auto"/>
        <w:jc w:val="both"/>
        <w:rPr>
          <w:color w:val="2D2D2D"/>
          <w:shd w:val="clear" w:color="auto" w:fill="FFFFFF"/>
          <w:lang w:val="de-DE"/>
        </w:rPr>
      </w:pPr>
    </w:p>
    <w:p w:rsidR="005C17D9" w:rsidRPr="005C17D9" w:rsidRDefault="005C17D9" w:rsidP="00062B4C">
      <w:pPr>
        <w:spacing w:after="0" w:line="360" w:lineRule="auto"/>
        <w:jc w:val="both"/>
        <w:rPr>
          <w:color w:val="2D2D2D"/>
          <w:shd w:val="clear" w:color="auto" w:fill="FFFFFF"/>
          <w:lang w:val="de-DE"/>
        </w:rPr>
      </w:pPr>
      <w:r>
        <w:rPr>
          <w:color w:val="2D2D2D"/>
          <w:shd w:val="clear" w:color="auto" w:fill="FFFFFF"/>
          <w:lang w:val="de-DE"/>
        </w:rPr>
        <w:t>Insgesamt 183.692 Personen stand</w:t>
      </w:r>
      <w:r w:rsidRPr="005C17D9">
        <w:rPr>
          <w:color w:val="2D2D2D"/>
          <w:shd w:val="clear" w:color="auto" w:fill="FFFFFF"/>
          <w:lang w:val="de-DE"/>
        </w:rPr>
        <w:t xml:space="preserve">en auf der Liste, die für die Umsiedlung vorgesehen </w:t>
      </w:r>
      <w:r>
        <w:rPr>
          <w:color w:val="2D2D2D"/>
          <w:shd w:val="clear" w:color="auto" w:fill="FFFFFF"/>
          <w:lang w:val="de-DE"/>
        </w:rPr>
        <w:t>waren.</w:t>
      </w:r>
    </w:p>
    <w:p w:rsidR="005C17D9" w:rsidRPr="005C17D9" w:rsidRDefault="005C17D9" w:rsidP="00062B4C">
      <w:pPr>
        <w:spacing w:after="0" w:line="360" w:lineRule="auto"/>
        <w:jc w:val="both"/>
        <w:rPr>
          <w:color w:val="2D2D2D"/>
          <w:shd w:val="clear" w:color="auto" w:fill="FFFFFF"/>
          <w:lang w:val="de-DE"/>
        </w:rPr>
      </w:pPr>
      <w:r w:rsidRPr="005C17D9">
        <w:rPr>
          <w:color w:val="2D2D2D"/>
          <w:shd w:val="clear" w:color="auto" w:fill="FFFFFF"/>
          <w:lang w:val="de-DE"/>
        </w:rPr>
        <w:t>Die Ungarn aus Oberungarn, die in die Liste für den Bevölkerungsaustausch aufgenommen w</w:t>
      </w:r>
      <w:r w:rsidR="0098796B">
        <w:rPr>
          <w:color w:val="2D2D2D"/>
          <w:shd w:val="clear" w:color="auto" w:fill="FFFFFF"/>
          <w:lang w:val="de-DE"/>
        </w:rPr>
        <w:t>urden, erhielten einen "Ausweis</w:t>
      </w:r>
      <w:r w:rsidRPr="005C17D9">
        <w:rPr>
          <w:color w:val="2D2D2D"/>
          <w:shd w:val="clear" w:color="auto" w:fill="FFFFFF"/>
          <w:lang w:val="de-DE"/>
        </w:rPr>
        <w:t>" und das "Weiße Blatt". Ihr Schicksal war damit besiegelt.</w:t>
      </w:r>
      <w:r>
        <w:rPr>
          <w:color w:val="2D2D2D"/>
          <w:shd w:val="clear" w:color="auto" w:fill="FFFFFF"/>
          <w:lang w:val="de-DE"/>
        </w:rPr>
        <w:t xml:space="preserve"> </w:t>
      </w:r>
      <w:r>
        <w:rPr>
          <w:color w:val="2D2D2D"/>
          <w:shd w:val="clear" w:color="auto" w:fill="FFFFFF"/>
          <w:lang w:val="de-DE"/>
        </w:rPr>
        <w:lastRenderedPageBreak/>
        <w:t xml:space="preserve">Es gab </w:t>
      </w:r>
      <w:r w:rsidRPr="005C17D9">
        <w:rPr>
          <w:color w:val="2D2D2D"/>
          <w:shd w:val="clear" w:color="auto" w:fill="FFFFFF"/>
          <w:lang w:val="de-DE"/>
        </w:rPr>
        <w:t xml:space="preserve">Meinungsverschiedenheiten zwischen den beiden Staaten, </w:t>
      </w:r>
      <w:r>
        <w:rPr>
          <w:color w:val="2D2D2D"/>
          <w:shd w:val="clear" w:color="auto" w:fill="FFFFFF"/>
          <w:lang w:val="de-DE"/>
        </w:rPr>
        <w:t xml:space="preserve">deshalb </w:t>
      </w:r>
      <w:r w:rsidRPr="005C17D9">
        <w:rPr>
          <w:color w:val="2D2D2D"/>
          <w:shd w:val="clear" w:color="auto" w:fill="FFFFFF"/>
          <w:lang w:val="de-DE"/>
        </w:rPr>
        <w:t>konnte die</w:t>
      </w:r>
      <w:r w:rsidR="0098796B">
        <w:rPr>
          <w:color w:val="2D2D2D"/>
          <w:shd w:val="clear" w:color="auto" w:fill="FFFFFF"/>
          <w:lang w:val="de-DE"/>
        </w:rPr>
        <w:t xml:space="preserve"> Ausweis</w:t>
      </w:r>
      <w:r>
        <w:rPr>
          <w:color w:val="2D2D2D"/>
          <w:shd w:val="clear" w:color="auto" w:fill="FFFFFF"/>
          <w:lang w:val="de-DE"/>
        </w:rPr>
        <w:t xml:space="preserve">ung der Ungarn </w:t>
      </w:r>
      <w:r w:rsidRPr="005C17D9">
        <w:rPr>
          <w:color w:val="2D2D2D"/>
          <w:shd w:val="clear" w:color="auto" w:fill="FFFFFF"/>
          <w:lang w:val="de-DE"/>
        </w:rPr>
        <w:t>erst im April 1947 beginnen</w:t>
      </w:r>
      <w:r w:rsidR="0098796B">
        <w:rPr>
          <w:color w:val="2D2D2D"/>
          <w:shd w:val="clear" w:color="auto" w:fill="FFFFFF"/>
          <w:lang w:val="de-DE"/>
        </w:rPr>
        <w:t xml:space="preserve">. </w:t>
      </w:r>
    </w:p>
    <w:p w:rsidR="005C17D9" w:rsidRDefault="0098796B" w:rsidP="00062B4C">
      <w:pPr>
        <w:spacing w:after="0" w:line="360" w:lineRule="auto"/>
        <w:jc w:val="both"/>
        <w:rPr>
          <w:color w:val="2D2D2D"/>
          <w:shd w:val="clear" w:color="auto" w:fill="FFFFFF"/>
          <w:lang w:val="de-DE"/>
        </w:rPr>
      </w:pPr>
      <w:r>
        <w:rPr>
          <w:color w:val="2D2D2D"/>
          <w:shd w:val="clear" w:color="auto" w:fill="FFFFFF"/>
          <w:lang w:val="de-DE"/>
        </w:rPr>
        <w:t xml:space="preserve">Es wurden </w:t>
      </w:r>
      <w:r w:rsidR="005C17D9" w:rsidRPr="005C17D9">
        <w:rPr>
          <w:color w:val="2D2D2D"/>
          <w:shd w:val="clear" w:color="auto" w:fill="FFFFFF"/>
          <w:lang w:val="de-DE"/>
        </w:rPr>
        <w:t>16 Niederlassungen</w:t>
      </w:r>
      <w:r>
        <w:rPr>
          <w:color w:val="2D2D2D"/>
          <w:shd w:val="clear" w:color="auto" w:fill="FFFFFF"/>
          <w:lang w:val="de-DE"/>
        </w:rPr>
        <w:t xml:space="preserve">: </w:t>
      </w:r>
      <w:r w:rsidR="005C17D9" w:rsidRPr="005C17D9">
        <w:rPr>
          <w:color w:val="2D2D2D"/>
          <w:shd w:val="clear" w:color="auto" w:fill="FFFFFF"/>
          <w:lang w:val="de-DE"/>
        </w:rPr>
        <w:t>Miskolc, Nyíregyháza,</w:t>
      </w:r>
      <w:r>
        <w:rPr>
          <w:color w:val="2D2D2D"/>
          <w:shd w:val="clear" w:color="auto" w:fill="FFFFFF"/>
          <w:lang w:val="de-DE"/>
        </w:rPr>
        <w:t xml:space="preserve"> </w:t>
      </w:r>
      <w:r w:rsidR="005C17D9" w:rsidRPr="005C17D9">
        <w:rPr>
          <w:color w:val="2D2D2D"/>
          <w:shd w:val="clear" w:color="auto" w:fill="FFFFFF"/>
          <w:lang w:val="de-DE"/>
        </w:rPr>
        <w:t xml:space="preserve">Békéscsaba, Tótkomlós, Kecskemét, Gyöngyös, </w:t>
      </w:r>
      <w:r>
        <w:rPr>
          <w:color w:val="2D2D2D"/>
          <w:shd w:val="clear" w:color="auto" w:fill="FFFFFF"/>
          <w:lang w:val="de-DE"/>
        </w:rPr>
        <w:t xml:space="preserve">Balassagyarmat, Budapest, Baja, </w:t>
      </w:r>
      <w:r w:rsidR="005C17D9" w:rsidRPr="005C17D9">
        <w:rPr>
          <w:color w:val="2D2D2D"/>
          <w:shd w:val="clear" w:color="auto" w:fill="FFFFFF"/>
          <w:lang w:val="de-DE"/>
        </w:rPr>
        <w:t>Szekszárd, Székesfehérvár, Komárom, Gy</w:t>
      </w:r>
      <w:r>
        <w:rPr>
          <w:color w:val="2D2D2D"/>
          <w:shd w:val="clear" w:color="auto" w:fill="FFFFFF"/>
          <w:lang w:val="de-DE"/>
        </w:rPr>
        <w:t>ő</w:t>
      </w:r>
      <w:r w:rsidR="005C17D9" w:rsidRPr="005C17D9">
        <w:rPr>
          <w:color w:val="2D2D2D"/>
          <w:shd w:val="clear" w:color="auto" w:fill="FFFFFF"/>
          <w:lang w:val="de-DE"/>
        </w:rPr>
        <w:t>r, S</w:t>
      </w:r>
      <w:r>
        <w:rPr>
          <w:color w:val="2D2D2D"/>
          <w:shd w:val="clear" w:color="auto" w:fill="FFFFFF"/>
          <w:lang w:val="de-DE"/>
        </w:rPr>
        <w:t>opron, Kaposvár und Pécs gegründet</w:t>
      </w:r>
      <w:r w:rsidR="00CC7F58">
        <w:rPr>
          <w:color w:val="2D2D2D"/>
          <w:shd w:val="clear" w:color="auto" w:fill="FFFFFF"/>
          <w:lang w:val="de-DE"/>
        </w:rPr>
        <w:t>, so wurden die Ungarn in fast alle Komitate des Landes zerstreut</w:t>
      </w:r>
      <w:r w:rsidR="005C17D9" w:rsidRPr="005C17D9">
        <w:rPr>
          <w:color w:val="2D2D2D"/>
          <w:shd w:val="clear" w:color="auto" w:fill="FFFFFF"/>
          <w:lang w:val="de-DE"/>
        </w:rPr>
        <w:t>.</w:t>
      </w:r>
    </w:p>
    <w:p w:rsidR="008B4B14" w:rsidRDefault="008D26ED" w:rsidP="00062B4C">
      <w:pPr>
        <w:spacing w:after="0" w:line="360" w:lineRule="auto"/>
        <w:jc w:val="both"/>
        <w:rPr>
          <w:color w:val="2D2D2D"/>
          <w:shd w:val="clear" w:color="auto" w:fill="FFFFFF"/>
          <w:lang w:val="de-DE"/>
        </w:rPr>
      </w:pPr>
      <w:r w:rsidRPr="008D26ED">
        <w:rPr>
          <w:color w:val="2D2D2D"/>
          <w:shd w:val="clear" w:color="auto" w:fill="FFFFFF"/>
          <w:lang w:val="de-DE"/>
        </w:rPr>
        <w:t>Bis Ende Dezember 1948 verließen 73.273 Slowaken (71.215 n</w:t>
      </w:r>
      <w:r>
        <w:rPr>
          <w:color w:val="2D2D2D"/>
          <w:shd w:val="clear" w:color="auto" w:fill="FFFFFF"/>
          <w:lang w:val="de-DE"/>
        </w:rPr>
        <w:t xml:space="preserve">ach anderen Angaben) Ungarn </w:t>
      </w:r>
      <w:r w:rsidRPr="008D26ED">
        <w:rPr>
          <w:color w:val="2D2D2D"/>
          <w:shd w:val="clear" w:color="auto" w:fill="FFFFFF"/>
          <w:lang w:val="de-DE"/>
        </w:rPr>
        <w:t>fre</w:t>
      </w:r>
      <w:r>
        <w:rPr>
          <w:color w:val="2D2D2D"/>
          <w:shd w:val="clear" w:color="auto" w:fill="FFFFFF"/>
          <w:lang w:val="de-DE"/>
        </w:rPr>
        <w:t>iwillig</w:t>
      </w:r>
      <w:r w:rsidRPr="008D26ED">
        <w:rPr>
          <w:color w:val="2D2D2D"/>
          <w:shd w:val="clear" w:color="auto" w:fill="FFFFFF"/>
          <w:lang w:val="de-DE"/>
        </w:rPr>
        <w:t>. Gleichzeitig wurden 89.600 Ungarn (85.436 nach anderen Angaben) aus der Tschechoslowakei ausgewiesen.</w:t>
      </w:r>
      <w:r>
        <w:rPr>
          <w:color w:val="2D2D2D"/>
          <w:shd w:val="clear" w:color="auto" w:fill="FFFFFF"/>
          <w:lang w:val="de-DE"/>
        </w:rPr>
        <w:t xml:space="preserve"> Die Ausweisung</w:t>
      </w:r>
      <w:r w:rsidRPr="008D26ED">
        <w:rPr>
          <w:color w:val="2D2D2D"/>
          <w:shd w:val="clear" w:color="auto" w:fill="FFFFFF"/>
          <w:lang w:val="de-DE"/>
        </w:rPr>
        <w:t xml:space="preserve"> wurde am 5. Juni 1949 abgeschlossen: Die letzte Familie überquerte die tschechoslowakisch-ungarische Grenze zwischen Štúr</w:t>
      </w:r>
      <w:r>
        <w:rPr>
          <w:color w:val="2D2D2D"/>
          <w:shd w:val="clear" w:color="auto" w:fill="FFFFFF"/>
          <w:lang w:val="de-DE"/>
        </w:rPr>
        <w:t>ovo und Szob.</w:t>
      </w:r>
      <w:r w:rsidR="008B4B14">
        <w:rPr>
          <w:rStyle w:val="Lbjegyzet-hivatkozs"/>
          <w:color w:val="2D2D2D"/>
          <w:shd w:val="clear" w:color="auto" w:fill="FFFFFF"/>
          <w:lang w:val="de-DE"/>
        </w:rPr>
        <w:footnoteReference w:id="1"/>
      </w:r>
    </w:p>
    <w:p w:rsidR="005D4691" w:rsidRPr="00B64EAE" w:rsidRDefault="00065E21" w:rsidP="00B64EAE">
      <w:pPr>
        <w:spacing w:after="0" w:line="360" w:lineRule="auto"/>
        <w:jc w:val="both"/>
        <w:rPr>
          <w:color w:val="2D2D2D"/>
          <w:shd w:val="clear" w:color="auto" w:fill="FFFFFF"/>
          <w:lang w:val="de-DE"/>
        </w:rPr>
      </w:pPr>
      <w:r w:rsidRPr="00B64EAE">
        <w:rPr>
          <w:lang w:val="de-DE"/>
        </w:rPr>
        <w:t xml:space="preserve">Die ungarischen Politiker wurden gefangengenommen und in Schauprozessen verurteilt, </w:t>
      </w:r>
      <w:r w:rsidRPr="00B64EAE">
        <w:rPr>
          <w:lang w:val="de-DE"/>
        </w:rPr>
        <w:t xml:space="preserve">zB. </w:t>
      </w:r>
      <w:r w:rsidR="00B64EAE" w:rsidRPr="00B64EAE">
        <w:rPr>
          <w:lang w:val="de-DE"/>
        </w:rPr>
        <w:t>János</w:t>
      </w:r>
      <w:r w:rsidR="00B64EAE" w:rsidRPr="00B64EAE">
        <w:rPr>
          <w:lang w:val="de-DE"/>
        </w:rPr>
        <w:t xml:space="preserve"> </w:t>
      </w:r>
      <w:r w:rsidRPr="00B64EAE">
        <w:rPr>
          <w:lang w:val="de-DE"/>
        </w:rPr>
        <w:t xml:space="preserve">Esterházy </w:t>
      </w:r>
      <w:r w:rsidRPr="00B64EAE">
        <w:rPr>
          <w:lang w:val="de-DE"/>
        </w:rPr>
        <w:t xml:space="preserve">wurde in die Sowjetunion </w:t>
      </w:r>
      <w:r w:rsidR="00B64EAE" w:rsidRPr="00B64EAE">
        <w:rPr>
          <w:lang w:val="de-DE"/>
        </w:rPr>
        <w:t xml:space="preserve">transportiert und </w:t>
      </w:r>
      <w:r w:rsidR="00B64EAE" w:rsidRPr="00B64EAE">
        <w:rPr>
          <w:lang w:val="de-DE"/>
        </w:rPr>
        <w:t xml:space="preserve">in einem konzeptionellen Verfahren zu 10 Jahren </w:t>
      </w:r>
      <w:hyperlink r:id="rId9" w:tooltip="Gulag" w:history="1">
        <w:r w:rsidR="00B64EAE" w:rsidRPr="00B64EAE">
          <w:rPr>
            <w:rStyle w:val="Hiperhivatkozs"/>
            <w:color w:val="auto"/>
            <w:u w:val="none"/>
            <w:lang w:val="de-DE"/>
          </w:rPr>
          <w:t>Gulag</w:t>
        </w:r>
      </w:hyperlink>
      <w:r w:rsidR="00B64EAE" w:rsidRPr="00B64EAE">
        <w:rPr>
          <w:lang w:val="de-DE"/>
        </w:rPr>
        <w:t xml:space="preserve">-Zwangsarbeit in </w:t>
      </w:r>
      <w:hyperlink r:id="rId10" w:tooltip="Sibirien" w:history="1">
        <w:r w:rsidR="00B64EAE" w:rsidRPr="00B64EAE">
          <w:rPr>
            <w:rStyle w:val="Hiperhivatkozs"/>
            <w:color w:val="auto"/>
            <w:u w:val="none"/>
            <w:lang w:val="de-DE"/>
          </w:rPr>
          <w:t>Sibirien</w:t>
        </w:r>
      </w:hyperlink>
      <w:r w:rsidR="00B64EAE" w:rsidRPr="00B64EAE">
        <w:rPr>
          <w:lang w:val="de-DE"/>
        </w:rPr>
        <w:t xml:space="preserve"> verurteilt.</w:t>
      </w:r>
    </w:p>
    <w:p w:rsidR="00947D18" w:rsidRPr="00D91A63" w:rsidRDefault="00947D18" w:rsidP="00062B4C">
      <w:pPr>
        <w:spacing w:after="0" w:line="360" w:lineRule="auto"/>
        <w:rPr>
          <w:color w:val="2D2D2D"/>
          <w:shd w:val="clear" w:color="auto" w:fill="FFFFFF"/>
          <w:lang w:val="de-DE"/>
        </w:rPr>
      </w:pPr>
      <w:r w:rsidRPr="00D91A63">
        <w:rPr>
          <w:rStyle w:val="Kiemels2"/>
          <w:color w:val="2D2D2D"/>
          <w:shd w:val="clear" w:color="auto" w:fill="FFFFFF"/>
          <w:lang w:val="de-DE"/>
        </w:rPr>
        <w:t>Ab 1948</w:t>
      </w:r>
      <w:r w:rsidR="00122144" w:rsidRPr="00D91A63">
        <w:rPr>
          <w:rStyle w:val="Kiemels2"/>
          <w:color w:val="2D2D2D"/>
          <w:shd w:val="clear" w:color="auto" w:fill="FFFFFF"/>
          <w:lang w:val="de-DE"/>
        </w:rPr>
        <w:t xml:space="preserve"> </w:t>
      </w:r>
      <w:r w:rsidR="008D26ED">
        <w:rPr>
          <w:color w:val="2D2D2D"/>
          <w:shd w:val="clear" w:color="auto" w:fill="FFFFFF"/>
          <w:lang w:val="de-DE"/>
        </w:rPr>
        <w:t>konnten die</w:t>
      </w:r>
      <w:r w:rsidRPr="00D91A63">
        <w:rPr>
          <w:color w:val="2D2D2D"/>
          <w:shd w:val="clear" w:color="auto" w:fill="FFFFFF"/>
          <w:lang w:val="de-DE"/>
        </w:rPr>
        <w:t xml:space="preserve"> verbliebenen </w:t>
      </w:r>
      <w:r w:rsidR="008D26ED">
        <w:rPr>
          <w:color w:val="2D2D2D"/>
          <w:shd w:val="clear" w:color="auto" w:fill="FFFFFF"/>
          <w:lang w:val="de-DE"/>
        </w:rPr>
        <w:t xml:space="preserve">Ungarn </w:t>
      </w:r>
      <w:r w:rsidRPr="00D91A63">
        <w:rPr>
          <w:color w:val="2D2D2D"/>
          <w:shd w:val="clear" w:color="auto" w:fill="FFFFFF"/>
          <w:lang w:val="de-DE"/>
        </w:rPr>
        <w:t>im Rahmen</w:t>
      </w:r>
      <w:r w:rsidR="00122144" w:rsidRPr="00D91A63">
        <w:rPr>
          <w:color w:val="2D2D2D"/>
          <w:shd w:val="clear" w:color="auto" w:fill="FFFFFF"/>
          <w:lang w:val="de-DE"/>
        </w:rPr>
        <w:t xml:space="preserve"> </w:t>
      </w:r>
      <w:r w:rsidRPr="00D91A63">
        <w:rPr>
          <w:color w:val="2D2D2D"/>
          <w:shd w:val="clear" w:color="auto" w:fill="FFFFFF"/>
          <w:lang w:val="de-DE"/>
        </w:rPr>
        <w:t>der sogenannten</w:t>
      </w:r>
      <w:r w:rsidR="00122144" w:rsidRPr="00D91A63">
        <w:rPr>
          <w:color w:val="2D2D2D"/>
          <w:shd w:val="clear" w:color="auto" w:fill="FFFFFF"/>
          <w:lang w:val="de-DE"/>
        </w:rPr>
        <w:t xml:space="preserve"> </w:t>
      </w:r>
      <w:r w:rsidRPr="00D91A63">
        <w:rPr>
          <w:rStyle w:val="Kiemels2"/>
          <w:color w:val="2D2D2D"/>
          <w:shd w:val="clear" w:color="auto" w:fill="FFFFFF"/>
          <w:lang w:val="de-DE"/>
        </w:rPr>
        <w:t>Reslovakisierung</w:t>
      </w:r>
      <w:r w:rsidR="00122144" w:rsidRPr="00D91A63">
        <w:rPr>
          <w:color w:val="2D2D2D"/>
          <w:shd w:val="clear" w:color="auto" w:fill="FFFFFF"/>
          <w:lang w:val="de-DE"/>
        </w:rPr>
        <w:t xml:space="preserve"> </w:t>
      </w:r>
      <w:r w:rsidRPr="00D91A63">
        <w:rPr>
          <w:color w:val="2D2D2D"/>
          <w:shd w:val="clear" w:color="auto" w:fill="FFFFFF"/>
          <w:lang w:val="de-DE"/>
        </w:rPr>
        <w:t>ihre Staatsbürgerschaft und i</w:t>
      </w:r>
      <w:r w:rsidR="00122144" w:rsidRPr="00D91A63">
        <w:rPr>
          <w:color w:val="2D2D2D"/>
          <w:shd w:val="clear" w:color="auto" w:fill="FFFFFF"/>
          <w:lang w:val="de-DE"/>
        </w:rPr>
        <w:t>hren Grundbesitz wiedererlangen</w:t>
      </w:r>
      <w:r w:rsidRPr="00D91A63">
        <w:rPr>
          <w:color w:val="2D2D2D"/>
          <w:shd w:val="clear" w:color="auto" w:fill="FFFFFF"/>
          <w:lang w:val="de-DE"/>
        </w:rPr>
        <w:t>, wenn sie sich zu Slowaken erklä</w:t>
      </w:r>
      <w:r w:rsidR="00B64EAE">
        <w:rPr>
          <w:color w:val="2D2D2D"/>
          <w:shd w:val="clear" w:color="auto" w:fill="FFFFFF"/>
          <w:lang w:val="de-DE"/>
        </w:rPr>
        <w:t>rten und ihre Familiennamen slov</w:t>
      </w:r>
      <w:r w:rsidRPr="00D91A63">
        <w:rPr>
          <w:color w:val="2D2D2D"/>
          <w:shd w:val="clear" w:color="auto" w:fill="FFFFFF"/>
          <w:lang w:val="de-DE"/>
        </w:rPr>
        <w:t>akisierten.</w:t>
      </w:r>
    </w:p>
    <w:p w:rsidR="00AA7DFD" w:rsidRPr="0073637A" w:rsidRDefault="00AA7DFD" w:rsidP="00062B4C">
      <w:pPr>
        <w:autoSpaceDE w:val="0"/>
        <w:autoSpaceDN w:val="0"/>
        <w:adjustRightInd w:val="0"/>
        <w:spacing w:after="0" w:line="240" w:lineRule="auto"/>
        <w:jc w:val="both"/>
        <w:rPr>
          <w:color w:val="2D2D2D"/>
          <w:shd w:val="clear" w:color="auto" w:fill="FFFFFF"/>
        </w:rPr>
      </w:pPr>
    </w:p>
    <w:p w:rsidR="00527261" w:rsidRPr="0073637A" w:rsidRDefault="00C911BD" w:rsidP="00062B4C">
      <w:pPr>
        <w:pStyle w:val="Listaszerbekezds"/>
        <w:numPr>
          <w:ilvl w:val="0"/>
          <w:numId w:val="2"/>
        </w:numPr>
        <w:shd w:val="clear" w:color="auto" w:fill="FFFFFF"/>
        <w:spacing w:after="0" w:line="360" w:lineRule="auto"/>
        <w:jc w:val="both"/>
        <w:rPr>
          <w:rFonts w:eastAsia="Times New Roman"/>
          <w:color w:val="2D2D2D"/>
          <w:lang w:val="de-DE" w:eastAsia="de-DE"/>
        </w:rPr>
      </w:pPr>
      <w:r w:rsidRPr="0073637A">
        <w:rPr>
          <w:rFonts w:eastAsia="Times New Roman"/>
          <w:color w:val="2D2D2D"/>
          <w:lang w:val="de-DE" w:eastAsia="de-DE"/>
        </w:rPr>
        <w:t>In der Karpato-Ukraine</w:t>
      </w:r>
    </w:p>
    <w:p w:rsidR="00EA2553" w:rsidRDefault="00DA5C64" w:rsidP="00062B4C">
      <w:pPr>
        <w:shd w:val="clear" w:color="auto" w:fill="FFFFFF"/>
        <w:spacing w:after="0" w:line="360" w:lineRule="auto"/>
        <w:jc w:val="both"/>
        <w:rPr>
          <w:color w:val="2D2D2D"/>
          <w:shd w:val="clear" w:color="auto" w:fill="FFFFFF"/>
          <w:lang w:val="de-DE"/>
        </w:rPr>
      </w:pPr>
      <w:r w:rsidRPr="0073637A">
        <w:rPr>
          <w:rFonts w:eastAsia="Times New Roman"/>
          <w:color w:val="2D2D2D"/>
          <w:lang w:val="de-DE" w:eastAsia="de-DE"/>
        </w:rPr>
        <w:t>In der Karpato-Ukraine</w:t>
      </w:r>
      <w:r w:rsidRPr="0073637A">
        <w:rPr>
          <w:color w:val="2D2D2D"/>
          <w:shd w:val="clear" w:color="auto" w:fill="FFFFFF"/>
          <w:lang w:val="de-DE"/>
        </w:rPr>
        <w:t>, die</w:t>
      </w:r>
      <w:r w:rsidR="00EA2553" w:rsidRPr="0073637A">
        <w:rPr>
          <w:color w:val="2D2D2D"/>
          <w:shd w:val="clear" w:color="auto" w:fill="FFFFFF"/>
          <w:lang w:val="de-DE"/>
        </w:rPr>
        <w:t xml:space="preserve"> ab 1939 für fünf Jahre wieder zu Ungarn gehörte, nahm die sowjetische Besatzungsarmee im Herbst 1944 nicht nur in großer Zahl Kriegsgefangene, sondern begann auch unmittelbar nach dem Frontabzug (bereits im November 1944) mit Massendeportationen. Dementsprechend wurde die Mehrheit der ungarischen und deutschen männlichen Bevölkerung</w:t>
      </w:r>
      <w:r w:rsidR="0073637A">
        <w:rPr>
          <w:color w:val="2D2D2D"/>
          <w:shd w:val="clear" w:color="auto" w:fill="FFFFFF"/>
          <w:lang w:val="de-DE"/>
        </w:rPr>
        <w:t xml:space="preserve"> zwischen 14 und 55 Jahren</w:t>
      </w:r>
      <w:r w:rsidR="00EA2553" w:rsidRPr="0073637A">
        <w:rPr>
          <w:color w:val="2D2D2D"/>
          <w:shd w:val="clear" w:color="auto" w:fill="FFFFFF"/>
          <w:lang w:val="de-DE"/>
        </w:rPr>
        <w:t xml:space="preserve"> der Region zusammengetrieben, zunächst in das Konzentrationslager in Solyva, und von dort aus wurden Zehntausende von Menschen in verschiedene Arbeitslager in der Sowjetunion deportiert. Doch auch diejenigen, die der Depor</w:t>
      </w:r>
      <w:r w:rsidRPr="0073637A">
        <w:rPr>
          <w:color w:val="2D2D2D"/>
          <w:shd w:val="clear" w:color="auto" w:fill="FFFFFF"/>
          <w:lang w:val="de-DE"/>
        </w:rPr>
        <w:t>tation entgingen oder von dort</w:t>
      </w:r>
      <w:r w:rsidR="00EA2553" w:rsidRPr="0073637A">
        <w:rPr>
          <w:color w:val="2D2D2D"/>
          <w:shd w:val="clear" w:color="auto" w:fill="FFFFFF"/>
          <w:lang w:val="de-DE"/>
        </w:rPr>
        <w:t xml:space="preserve"> zurückkehrten, konnten sich vor Stalins Diktatur nicht sicher fühlen.</w:t>
      </w:r>
    </w:p>
    <w:p w:rsidR="002E4657" w:rsidRDefault="002E4657">
      <w:pPr>
        <w:rPr>
          <w:color w:val="2D2D2D"/>
          <w:shd w:val="clear" w:color="auto" w:fill="FFFFFF"/>
          <w:lang w:val="de-DE"/>
        </w:rPr>
      </w:pPr>
      <w:r>
        <w:rPr>
          <w:color w:val="2D2D2D"/>
          <w:shd w:val="clear" w:color="auto" w:fill="FFFFFF"/>
          <w:lang w:val="de-DE"/>
        </w:rPr>
        <w:br w:type="page"/>
      </w:r>
    </w:p>
    <w:p w:rsidR="00DA5C64" w:rsidRPr="0073637A" w:rsidRDefault="00DA5C64" w:rsidP="00062B4C">
      <w:pPr>
        <w:pStyle w:val="Listaszerbekezds"/>
        <w:numPr>
          <w:ilvl w:val="0"/>
          <w:numId w:val="2"/>
        </w:numPr>
        <w:shd w:val="clear" w:color="auto" w:fill="FFFFFF"/>
        <w:spacing w:after="0" w:line="360" w:lineRule="auto"/>
        <w:jc w:val="both"/>
        <w:rPr>
          <w:color w:val="2D2D2D"/>
          <w:shd w:val="clear" w:color="auto" w:fill="FFFFFF"/>
        </w:rPr>
      </w:pPr>
      <w:r w:rsidRPr="0073637A">
        <w:rPr>
          <w:color w:val="2D2D2D"/>
          <w:shd w:val="clear" w:color="auto" w:fill="FFFFFF"/>
        </w:rPr>
        <w:lastRenderedPageBreak/>
        <w:t>In Rumänien</w:t>
      </w:r>
    </w:p>
    <w:p w:rsidR="00AB2C7D" w:rsidRPr="0073637A" w:rsidRDefault="0073637A" w:rsidP="00062B4C">
      <w:pPr>
        <w:pStyle w:val="NormlWeb"/>
        <w:shd w:val="clear" w:color="auto" w:fill="FFFFFF"/>
        <w:spacing w:before="0" w:beforeAutospacing="0" w:after="0" w:afterAutospacing="0" w:line="360" w:lineRule="auto"/>
        <w:jc w:val="both"/>
        <w:rPr>
          <w:color w:val="2D2D2D"/>
        </w:rPr>
      </w:pPr>
      <w:r>
        <w:rPr>
          <w:color w:val="2D2D2D"/>
        </w:rPr>
        <w:t>Die sog. Maniu-Gardisten überfielen die siebenbürgischen Dörfer</w:t>
      </w:r>
      <w:r w:rsidR="00B01803">
        <w:rPr>
          <w:color w:val="2D2D2D"/>
        </w:rPr>
        <w:t xml:space="preserve">. </w:t>
      </w:r>
      <w:r w:rsidR="00936190">
        <w:rPr>
          <w:color w:val="2D2D2D"/>
        </w:rPr>
        <w:t xml:space="preserve">Die Sowjetarmee musste </w:t>
      </w:r>
      <w:r w:rsidR="00B01803">
        <w:rPr>
          <w:color w:val="2D2D2D"/>
        </w:rPr>
        <w:t>sich wegen der blutigen Geschehnisse einmischen. In den erneut zurückgeschlossenen Gebieten von Nordsiebenbürgen und Szeklerland wurde die Verwaltung statt der Rumänen auf die örtliche Bevölkerung gestützt neuorganisiert.</w:t>
      </w:r>
    </w:p>
    <w:p w:rsidR="00AB2C7D" w:rsidRDefault="00AB2C7D" w:rsidP="00062B4C">
      <w:pPr>
        <w:pStyle w:val="NormlWeb"/>
        <w:shd w:val="clear" w:color="auto" w:fill="FFFFFF"/>
        <w:spacing w:before="0" w:beforeAutospacing="0" w:after="0" w:afterAutospacing="0" w:line="360" w:lineRule="auto"/>
        <w:jc w:val="both"/>
        <w:rPr>
          <w:color w:val="2D2D2D"/>
        </w:rPr>
      </w:pPr>
      <w:r w:rsidRPr="0073637A">
        <w:rPr>
          <w:color w:val="2D2D2D"/>
        </w:rPr>
        <w:t>Die Kommunisten hatten bereits 1945 einen entscheidenden Einfluss in Rumänien, so dass die eingerichteten Arbeitslager von Anfang an ideologischen Zwecken dienten. Die vom Regime als feindlich angesehenen Massen (darunter Tausende ungarische Häftlinge) wurden in mehreren Wellen deportiert. Die Arbeitskraft der Häftlinge wurde auch für riesige Investitionen eingesetzt. Die berüchtigtsten Arbeitslager wurden im Donaudelta (Entwässerung, Staudammbau) und für den Bau des Donau-Schwarzmeer-Kanals errichtet, aber auch deportierte Häftlinge wurden gezwungen, beim Bau des rie</w:t>
      </w:r>
      <w:r w:rsidR="00DA5C64" w:rsidRPr="0073637A">
        <w:rPr>
          <w:color w:val="2D2D2D"/>
        </w:rPr>
        <w:t>sigen Wasserkraftwerks „Eisernes Tor“</w:t>
      </w:r>
      <w:r w:rsidRPr="0073637A">
        <w:rPr>
          <w:color w:val="2D2D2D"/>
        </w:rPr>
        <w:t xml:space="preserve"> massenhaft zu arbeiten. Aufgrund der harten körperlichen Arbeit und der unvollständigen Pflege war die Sterblichkeit enorm.</w:t>
      </w:r>
    </w:p>
    <w:p w:rsidR="00062B4C" w:rsidRPr="0073637A" w:rsidRDefault="00062B4C" w:rsidP="00062B4C">
      <w:pPr>
        <w:pStyle w:val="NormlWeb"/>
        <w:shd w:val="clear" w:color="auto" w:fill="FFFFFF"/>
        <w:spacing w:before="0" w:beforeAutospacing="0" w:after="0" w:afterAutospacing="0" w:line="360" w:lineRule="auto"/>
        <w:jc w:val="both"/>
        <w:rPr>
          <w:color w:val="2D2D2D"/>
        </w:rPr>
      </w:pPr>
    </w:p>
    <w:p w:rsidR="00DA5C64" w:rsidRPr="0073637A" w:rsidRDefault="00DA5C64" w:rsidP="00062B4C">
      <w:pPr>
        <w:pStyle w:val="NormlWeb"/>
        <w:numPr>
          <w:ilvl w:val="0"/>
          <w:numId w:val="2"/>
        </w:numPr>
        <w:shd w:val="clear" w:color="auto" w:fill="FFFFFF"/>
        <w:spacing w:before="0" w:beforeAutospacing="0" w:after="0" w:afterAutospacing="0" w:line="360" w:lineRule="auto"/>
        <w:rPr>
          <w:color w:val="2D2D2D"/>
        </w:rPr>
      </w:pPr>
      <w:r w:rsidRPr="0073637A">
        <w:rPr>
          <w:color w:val="2D2D2D"/>
        </w:rPr>
        <w:t>In Jugoslawien</w:t>
      </w:r>
    </w:p>
    <w:p w:rsidR="00DC1354" w:rsidRDefault="00AB2C7D" w:rsidP="00062B4C">
      <w:pPr>
        <w:spacing w:after="0" w:line="360" w:lineRule="auto"/>
        <w:jc w:val="both"/>
        <w:rPr>
          <w:lang w:val="de-DE"/>
        </w:rPr>
      </w:pPr>
      <w:r w:rsidRPr="0073637A">
        <w:rPr>
          <w:lang w:val="de-DE"/>
        </w:rPr>
        <w:t xml:space="preserve">In Jugoslawien festigten die Kommunisten unter Tito schnell ihre Macht. Nach dem Ende der Kämpfe – im Herbst 1944 – begannen sie sofort, das ethnische Gesicht des </w:t>
      </w:r>
      <w:r w:rsidRPr="00B01803">
        <w:rPr>
          <w:b/>
          <w:lang w:val="de-DE"/>
        </w:rPr>
        <w:t xml:space="preserve">Südlandes </w:t>
      </w:r>
      <w:r w:rsidRPr="0073637A">
        <w:rPr>
          <w:lang w:val="de-DE"/>
        </w:rPr>
        <w:t xml:space="preserve">gewaltsam zu verändern. Die gesamte Dorfbevölkerung in der </w:t>
      </w:r>
      <w:r w:rsidR="00F0087C">
        <w:rPr>
          <w:lang w:val="de-DE"/>
        </w:rPr>
        <w:t>Woiwodina</w:t>
      </w:r>
      <w:r w:rsidR="00F0087C" w:rsidRPr="0073637A">
        <w:rPr>
          <w:lang w:val="de-DE"/>
        </w:rPr>
        <w:t xml:space="preserve"> </w:t>
      </w:r>
      <w:r w:rsidRPr="0073637A">
        <w:rPr>
          <w:lang w:val="de-DE"/>
        </w:rPr>
        <w:t>(das berühmteste ist Tschurog) wurde mit blutiger Grausamkeit ermordet, und mehr als hunderttausend Bürger deutscher und ungarischer Nationalität wurden in Arbeitslager deportiert. Die Diktatur betrieb auch Internierungslager, die die gesamte jugoslawische Gesellschaft einschüchterten.</w:t>
      </w:r>
    </w:p>
    <w:p w:rsidR="004B790C" w:rsidRPr="0073637A" w:rsidRDefault="004B790C" w:rsidP="00062B4C">
      <w:pPr>
        <w:spacing w:after="0" w:line="360" w:lineRule="auto"/>
        <w:jc w:val="both"/>
        <w:rPr>
          <w:lang w:val="de-DE"/>
        </w:rPr>
      </w:pPr>
      <w:r>
        <w:rPr>
          <w:lang w:val="de-DE"/>
        </w:rPr>
        <w:t>Später verbesserte sich die Lage des Ungarntums in der Woiwodina, sie bekamen Autonomie.</w:t>
      </w:r>
    </w:p>
    <w:p w:rsidR="002E4657" w:rsidRDefault="002E4657">
      <w:r>
        <w:br w:type="page"/>
      </w:r>
    </w:p>
    <w:p w:rsidR="00F73136" w:rsidRPr="00F0087C" w:rsidRDefault="009557AA" w:rsidP="0073637A">
      <w:pPr>
        <w:spacing w:line="360" w:lineRule="auto"/>
        <w:rPr>
          <w:b/>
          <w:lang w:val="de-DE"/>
        </w:rPr>
      </w:pPr>
      <w:r w:rsidRPr="00F0087C">
        <w:rPr>
          <w:b/>
          <w:lang w:val="de-DE"/>
        </w:rPr>
        <w:lastRenderedPageBreak/>
        <w:t>Aufgaben</w:t>
      </w:r>
    </w:p>
    <w:p w:rsidR="009557AA" w:rsidRPr="00D43F05" w:rsidRDefault="009557AA" w:rsidP="009557AA">
      <w:pPr>
        <w:pStyle w:val="NormlWeb"/>
        <w:numPr>
          <w:ilvl w:val="0"/>
          <w:numId w:val="4"/>
        </w:numPr>
        <w:spacing w:line="360" w:lineRule="auto"/>
        <w:rPr>
          <w:b/>
        </w:rPr>
      </w:pPr>
      <w:r w:rsidRPr="00D43F05">
        <w:rPr>
          <w:b/>
        </w:rPr>
        <w:t>Ergänzen Sie die Tabelle über die Schritte der erfolgreichen Revision anhand des Atlas!</w:t>
      </w:r>
    </w:p>
    <w:tbl>
      <w:tblPr>
        <w:tblStyle w:val="Rcsostblzat"/>
        <w:tblW w:w="9356" w:type="dxa"/>
        <w:tblInd w:w="-5" w:type="dxa"/>
        <w:tblLook w:val="04A0" w:firstRow="1" w:lastRow="0" w:firstColumn="1" w:lastColumn="0" w:noHBand="0" w:noVBand="1"/>
      </w:tblPr>
      <w:tblGrid>
        <w:gridCol w:w="2125"/>
        <w:gridCol w:w="1844"/>
        <w:gridCol w:w="1843"/>
        <w:gridCol w:w="3544"/>
      </w:tblGrid>
      <w:tr w:rsidR="008B4B14" w:rsidRPr="008B4B14" w:rsidTr="00843CA9">
        <w:tc>
          <w:tcPr>
            <w:tcW w:w="2125" w:type="dxa"/>
          </w:tcPr>
          <w:p w:rsidR="009557AA" w:rsidRPr="008B4B14" w:rsidRDefault="000A138F" w:rsidP="009557AA">
            <w:pPr>
              <w:pStyle w:val="NormlWeb"/>
              <w:spacing w:line="360" w:lineRule="auto"/>
            </w:pPr>
            <w:r w:rsidRPr="008B4B14">
              <w:t>Gebiete</w:t>
            </w:r>
          </w:p>
        </w:tc>
        <w:tc>
          <w:tcPr>
            <w:tcW w:w="1844" w:type="dxa"/>
          </w:tcPr>
          <w:p w:rsidR="009557AA" w:rsidRPr="008B4B14" w:rsidRDefault="000A138F" w:rsidP="009557AA">
            <w:pPr>
              <w:pStyle w:val="NormlWeb"/>
              <w:spacing w:line="360" w:lineRule="auto"/>
            </w:pPr>
            <w:r w:rsidRPr="008B4B14">
              <w:t xml:space="preserve">Von welchem Land? </w:t>
            </w:r>
          </w:p>
        </w:tc>
        <w:tc>
          <w:tcPr>
            <w:tcW w:w="1843" w:type="dxa"/>
          </w:tcPr>
          <w:p w:rsidR="009557AA" w:rsidRPr="008B4B14" w:rsidRDefault="000A138F" w:rsidP="009557AA">
            <w:pPr>
              <w:pStyle w:val="NormlWeb"/>
              <w:spacing w:line="360" w:lineRule="auto"/>
            </w:pPr>
            <w:r w:rsidRPr="008B4B14">
              <w:t>Wann?</w:t>
            </w:r>
          </w:p>
        </w:tc>
        <w:tc>
          <w:tcPr>
            <w:tcW w:w="3544" w:type="dxa"/>
          </w:tcPr>
          <w:p w:rsidR="009557AA" w:rsidRPr="008B4B14" w:rsidRDefault="000A138F" w:rsidP="009557AA">
            <w:pPr>
              <w:pStyle w:val="NormlWeb"/>
              <w:spacing w:line="360" w:lineRule="auto"/>
            </w:pPr>
            <w:r w:rsidRPr="008B4B14">
              <w:t>Wieviel Ungarn</w:t>
            </w:r>
            <w:r w:rsidR="00D55376" w:rsidRPr="008B4B14">
              <w:t xml:space="preserve">? </w:t>
            </w:r>
            <w:r w:rsidR="00843CA9" w:rsidRPr="008B4B14">
              <w:t>(In absoluten Zahlen, Prozentsatz)</w:t>
            </w:r>
          </w:p>
        </w:tc>
      </w:tr>
      <w:tr w:rsidR="008B4B14" w:rsidRPr="008B4B14" w:rsidTr="00843CA9">
        <w:tc>
          <w:tcPr>
            <w:tcW w:w="2125" w:type="dxa"/>
          </w:tcPr>
          <w:p w:rsidR="009557AA" w:rsidRPr="008B4B14" w:rsidRDefault="00783E7D" w:rsidP="009557AA">
            <w:pPr>
              <w:pStyle w:val="NormlWeb"/>
              <w:spacing w:line="360" w:lineRule="auto"/>
            </w:pPr>
            <w:r w:rsidRPr="008B4B14">
              <w:t>Oberland</w:t>
            </w:r>
          </w:p>
        </w:tc>
        <w:tc>
          <w:tcPr>
            <w:tcW w:w="1844" w:type="dxa"/>
          </w:tcPr>
          <w:p w:rsidR="009557AA" w:rsidRPr="008B4B14" w:rsidRDefault="009557AA" w:rsidP="009557AA">
            <w:pPr>
              <w:pStyle w:val="NormlWeb"/>
              <w:spacing w:line="360" w:lineRule="auto"/>
            </w:pPr>
          </w:p>
        </w:tc>
        <w:tc>
          <w:tcPr>
            <w:tcW w:w="1843" w:type="dxa"/>
          </w:tcPr>
          <w:p w:rsidR="009557AA" w:rsidRPr="008B4B14" w:rsidRDefault="009557AA" w:rsidP="009557AA">
            <w:pPr>
              <w:pStyle w:val="NormlWeb"/>
              <w:spacing w:line="360" w:lineRule="auto"/>
            </w:pPr>
          </w:p>
        </w:tc>
        <w:tc>
          <w:tcPr>
            <w:tcW w:w="3544" w:type="dxa"/>
          </w:tcPr>
          <w:p w:rsidR="009557AA" w:rsidRPr="008B4B14" w:rsidRDefault="009557AA" w:rsidP="009557AA">
            <w:pPr>
              <w:pStyle w:val="NormlWeb"/>
              <w:spacing w:line="360" w:lineRule="auto"/>
            </w:pPr>
          </w:p>
        </w:tc>
      </w:tr>
      <w:tr w:rsidR="008B4B14" w:rsidRPr="008B4B14" w:rsidTr="00843CA9">
        <w:tc>
          <w:tcPr>
            <w:tcW w:w="2125" w:type="dxa"/>
          </w:tcPr>
          <w:p w:rsidR="009557AA" w:rsidRPr="008B4B14" w:rsidRDefault="00783E7D" w:rsidP="009557AA">
            <w:pPr>
              <w:pStyle w:val="NormlWeb"/>
              <w:spacing w:line="360" w:lineRule="auto"/>
            </w:pPr>
            <w:r w:rsidRPr="008B4B14">
              <w:t>Karpato-Ukraine</w:t>
            </w:r>
          </w:p>
        </w:tc>
        <w:tc>
          <w:tcPr>
            <w:tcW w:w="1844" w:type="dxa"/>
          </w:tcPr>
          <w:p w:rsidR="009557AA" w:rsidRPr="008B4B14" w:rsidRDefault="009557AA" w:rsidP="009557AA">
            <w:pPr>
              <w:pStyle w:val="NormlWeb"/>
              <w:spacing w:line="360" w:lineRule="auto"/>
            </w:pPr>
          </w:p>
        </w:tc>
        <w:tc>
          <w:tcPr>
            <w:tcW w:w="1843" w:type="dxa"/>
          </w:tcPr>
          <w:p w:rsidR="009557AA" w:rsidRPr="008B4B14" w:rsidRDefault="009557AA" w:rsidP="009557AA">
            <w:pPr>
              <w:pStyle w:val="NormlWeb"/>
              <w:spacing w:line="360" w:lineRule="auto"/>
            </w:pPr>
          </w:p>
        </w:tc>
        <w:tc>
          <w:tcPr>
            <w:tcW w:w="3544" w:type="dxa"/>
          </w:tcPr>
          <w:p w:rsidR="009557AA" w:rsidRPr="008B4B14" w:rsidRDefault="009557AA" w:rsidP="009557AA">
            <w:pPr>
              <w:pStyle w:val="NormlWeb"/>
              <w:spacing w:line="360" w:lineRule="auto"/>
            </w:pPr>
          </w:p>
        </w:tc>
      </w:tr>
      <w:tr w:rsidR="008B4B14" w:rsidRPr="008B4B14" w:rsidTr="00843CA9">
        <w:tc>
          <w:tcPr>
            <w:tcW w:w="2125" w:type="dxa"/>
          </w:tcPr>
          <w:p w:rsidR="00D55376" w:rsidRPr="008B4B14" w:rsidRDefault="00783E7D" w:rsidP="00D55376">
            <w:pPr>
              <w:pStyle w:val="NormlWeb"/>
              <w:spacing w:before="0" w:beforeAutospacing="0" w:after="0" w:afterAutospacing="0" w:line="360" w:lineRule="auto"/>
            </w:pPr>
            <w:r w:rsidRPr="008B4B14">
              <w:t>Nordsiebenbürgen</w:t>
            </w:r>
            <w:r w:rsidR="00D55376" w:rsidRPr="008B4B14">
              <w:t>+</w:t>
            </w:r>
          </w:p>
          <w:p w:rsidR="009557AA" w:rsidRPr="008B4B14" w:rsidRDefault="00D55376" w:rsidP="00D55376">
            <w:pPr>
              <w:pStyle w:val="NormlWeb"/>
              <w:spacing w:before="0" w:beforeAutospacing="0" w:after="0" w:afterAutospacing="0" w:line="360" w:lineRule="auto"/>
            </w:pPr>
            <w:r w:rsidRPr="008B4B14">
              <w:t>Szeklerland</w:t>
            </w:r>
          </w:p>
        </w:tc>
        <w:tc>
          <w:tcPr>
            <w:tcW w:w="1844" w:type="dxa"/>
          </w:tcPr>
          <w:p w:rsidR="009557AA" w:rsidRPr="008B4B14" w:rsidRDefault="009557AA" w:rsidP="009557AA">
            <w:pPr>
              <w:pStyle w:val="NormlWeb"/>
              <w:spacing w:line="360" w:lineRule="auto"/>
            </w:pPr>
          </w:p>
        </w:tc>
        <w:tc>
          <w:tcPr>
            <w:tcW w:w="1843" w:type="dxa"/>
          </w:tcPr>
          <w:p w:rsidR="009557AA" w:rsidRPr="008B4B14" w:rsidRDefault="009557AA" w:rsidP="009557AA">
            <w:pPr>
              <w:pStyle w:val="NormlWeb"/>
              <w:spacing w:line="360" w:lineRule="auto"/>
            </w:pPr>
          </w:p>
        </w:tc>
        <w:tc>
          <w:tcPr>
            <w:tcW w:w="3544" w:type="dxa"/>
          </w:tcPr>
          <w:p w:rsidR="009557AA" w:rsidRPr="008B4B14" w:rsidRDefault="009557AA" w:rsidP="009557AA">
            <w:pPr>
              <w:pStyle w:val="NormlWeb"/>
              <w:spacing w:line="360" w:lineRule="auto"/>
            </w:pPr>
          </w:p>
        </w:tc>
      </w:tr>
      <w:tr w:rsidR="008B4B14" w:rsidRPr="008B4B14" w:rsidTr="00843CA9">
        <w:tc>
          <w:tcPr>
            <w:tcW w:w="2125" w:type="dxa"/>
          </w:tcPr>
          <w:p w:rsidR="009557AA" w:rsidRPr="008B4B14" w:rsidRDefault="00D55376" w:rsidP="009557AA">
            <w:pPr>
              <w:pStyle w:val="NormlWeb"/>
              <w:spacing w:line="360" w:lineRule="auto"/>
            </w:pPr>
            <w:r w:rsidRPr="008B4B14">
              <w:t>Woiwodina</w:t>
            </w:r>
          </w:p>
        </w:tc>
        <w:tc>
          <w:tcPr>
            <w:tcW w:w="1844" w:type="dxa"/>
          </w:tcPr>
          <w:p w:rsidR="009557AA" w:rsidRPr="008B4B14" w:rsidRDefault="009557AA" w:rsidP="009557AA">
            <w:pPr>
              <w:pStyle w:val="NormlWeb"/>
              <w:spacing w:line="360" w:lineRule="auto"/>
            </w:pPr>
          </w:p>
        </w:tc>
        <w:tc>
          <w:tcPr>
            <w:tcW w:w="1843" w:type="dxa"/>
          </w:tcPr>
          <w:p w:rsidR="009557AA" w:rsidRPr="008B4B14" w:rsidRDefault="009557AA" w:rsidP="009557AA">
            <w:pPr>
              <w:pStyle w:val="NormlWeb"/>
              <w:spacing w:line="360" w:lineRule="auto"/>
            </w:pPr>
          </w:p>
        </w:tc>
        <w:tc>
          <w:tcPr>
            <w:tcW w:w="3544" w:type="dxa"/>
          </w:tcPr>
          <w:p w:rsidR="009557AA" w:rsidRPr="008B4B14" w:rsidRDefault="009557AA" w:rsidP="009557AA">
            <w:pPr>
              <w:pStyle w:val="NormlWeb"/>
              <w:spacing w:line="360" w:lineRule="auto"/>
            </w:pPr>
          </w:p>
        </w:tc>
      </w:tr>
    </w:tbl>
    <w:p w:rsidR="00F25A51" w:rsidRDefault="00F25A51" w:rsidP="00F25A51">
      <w:pPr>
        <w:pStyle w:val="NormlWeb"/>
        <w:spacing w:line="360" w:lineRule="auto"/>
      </w:pPr>
    </w:p>
    <w:p w:rsidR="00F25A51" w:rsidRPr="00D43F05" w:rsidRDefault="00F25A51" w:rsidP="00F25A51">
      <w:pPr>
        <w:pStyle w:val="NormlWeb"/>
        <w:numPr>
          <w:ilvl w:val="0"/>
          <w:numId w:val="4"/>
        </w:numPr>
        <w:spacing w:line="360" w:lineRule="auto"/>
        <w:ind w:left="426" w:hanging="426"/>
        <w:rPr>
          <w:b/>
        </w:rPr>
      </w:pPr>
      <w:r w:rsidRPr="00D43F05">
        <w:rPr>
          <w:b/>
        </w:rPr>
        <w:t>Beantworten Sie die Fragen anhand des Textes!</w:t>
      </w:r>
    </w:p>
    <w:p w:rsidR="009557AA" w:rsidRPr="008B4B14" w:rsidRDefault="001C1A0E" w:rsidP="00F25A51">
      <w:pPr>
        <w:pStyle w:val="NormlWeb"/>
        <w:numPr>
          <w:ilvl w:val="0"/>
          <w:numId w:val="5"/>
        </w:numPr>
        <w:spacing w:line="360" w:lineRule="auto"/>
        <w:ind w:left="709" w:hanging="567"/>
      </w:pPr>
      <w:r w:rsidRPr="008B4B14">
        <w:t>Was war das Ziel der neu gegründeten Tschechoslowakei?</w:t>
      </w:r>
    </w:p>
    <w:p w:rsidR="001C1A0E" w:rsidRPr="008B4B14" w:rsidRDefault="00C0165C" w:rsidP="00F25A51">
      <w:pPr>
        <w:pStyle w:val="NormlWeb"/>
        <w:numPr>
          <w:ilvl w:val="0"/>
          <w:numId w:val="5"/>
        </w:numPr>
        <w:spacing w:line="360" w:lineRule="auto"/>
        <w:ind w:left="709" w:hanging="567"/>
        <w:rPr>
          <w:rStyle w:val="Kiemels2"/>
          <w:b w:val="0"/>
          <w:bCs w:val="0"/>
        </w:rPr>
      </w:pPr>
      <w:r w:rsidRPr="008B4B14">
        <w:t xml:space="preserve">Wie wurde die rechtliche Lage der Ungarn im Oberungarn eingeschränkt? </w:t>
      </w:r>
    </w:p>
    <w:p w:rsidR="00C0165C" w:rsidRPr="006158AB" w:rsidRDefault="00C0165C" w:rsidP="00F25A51">
      <w:pPr>
        <w:pStyle w:val="NormlWeb"/>
        <w:numPr>
          <w:ilvl w:val="0"/>
          <w:numId w:val="5"/>
        </w:numPr>
        <w:spacing w:line="360" w:lineRule="auto"/>
        <w:ind w:left="709" w:hanging="567"/>
      </w:pPr>
      <w:r w:rsidRPr="006158AB">
        <w:t>Wann wurde der slowakisch-ungarische Bevölkerungsaustausch unterzeichnet? Wie wollte man das Abkommen durchführen?</w:t>
      </w:r>
    </w:p>
    <w:p w:rsidR="00C0165C" w:rsidRDefault="00C0165C" w:rsidP="00F25A51">
      <w:pPr>
        <w:pStyle w:val="NormlWeb"/>
        <w:numPr>
          <w:ilvl w:val="0"/>
          <w:numId w:val="5"/>
        </w:numPr>
        <w:spacing w:line="360" w:lineRule="auto"/>
        <w:ind w:left="709" w:hanging="567"/>
      </w:pPr>
      <w:r w:rsidRPr="006158AB">
        <w:t xml:space="preserve">Welche Schlussfolgerung kann man von den Daten der ausgewiesenen Ungarn und der umgesiedelten Slowaken </w:t>
      </w:r>
      <w:r w:rsidR="006158AB" w:rsidRPr="006158AB">
        <w:t>formulieren?</w:t>
      </w:r>
    </w:p>
    <w:p w:rsidR="006158AB" w:rsidRDefault="008B4B14" w:rsidP="00F25A51">
      <w:pPr>
        <w:pStyle w:val="NormlWeb"/>
        <w:numPr>
          <w:ilvl w:val="0"/>
          <w:numId w:val="5"/>
        </w:numPr>
        <w:spacing w:line="360" w:lineRule="auto"/>
        <w:ind w:left="709" w:hanging="567"/>
      </w:pPr>
      <w:r>
        <w:t>W</w:t>
      </w:r>
      <w:r w:rsidR="007709D8">
        <w:t>ie wurden die Ungarn in der Karpato-Ukraine am Ende des Zweiten Weltkrieges bestraft?</w:t>
      </w:r>
    </w:p>
    <w:p w:rsidR="007709D8" w:rsidRDefault="007709D8" w:rsidP="00F25A51">
      <w:pPr>
        <w:pStyle w:val="NormlWeb"/>
        <w:numPr>
          <w:ilvl w:val="0"/>
          <w:numId w:val="5"/>
        </w:numPr>
        <w:spacing w:line="360" w:lineRule="auto"/>
        <w:ind w:left="709" w:hanging="567"/>
      </w:pPr>
      <w:r>
        <w:t>Wie reagierte die Sowjetarmee auf die Aktionen der Maniu-Gardisten in Siebenbürgen?</w:t>
      </w:r>
    </w:p>
    <w:p w:rsidR="007709D8" w:rsidRDefault="007709D8" w:rsidP="00F25A51">
      <w:pPr>
        <w:pStyle w:val="NormlWeb"/>
        <w:numPr>
          <w:ilvl w:val="0"/>
          <w:numId w:val="5"/>
        </w:numPr>
        <w:spacing w:line="360" w:lineRule="auto"/>
        <w:ind w:left="709" w:hanging="567"/>
      </w:pPr>
      <w:r>
        <w:t>Wo mussten die Deportierten in Rumänien arbeiten?</w:t>
      </w:r>
    </w:p>
    <w:p w:rsidR="007709D8" w:rsidRDefault="009D3501" w:rsidP="00F25A51">
      <w:pPr>
        <w:pStyle w:val="NormlWeb"/>
        <w:numPr>
          <w:ilvl w:val="0"/>
          <w:numId w:val="5"/>
        </w:numPr>
        <w:spacing w:line="360" w:lineRule="auto"/>
        <w:ind w:left="709" w:hanging="567"/>
      </w:pPr>
      <w:r>
        <w:t>Wie wurden die Ungarn in Jugoslawien bestraft?</w:t>
      </w:r>
    </w:p>
    <w:p w:rsidR="009D3501" w:rsidRDefault="009D3501" w:rsidP="009D3501">
      <w:pPr>
        <w:pStyle w:val="NormlWeb"/>
        <w:spacing w:line="360" w:lineRule="auto"/>
        <w:ind w:left="720"/>
      </w:pPr>
    </w:p>
    <w:p w:rsidR="002E4657" w:rsidRDefault="002E4657">
      <w:pPr>
        <w:rPr>
          <w:rFonts w:eastAsia="Times New Roman"/>
          <w:b/>
          <w:lang w:val="de-DE" w:eastAsia="de-DE"/>
        </w:rPr>
      </w:pPr>
      <w:r>
        <w:rPr>
          <w:b/>
        </w:rPr>
        <w:br w:type="page"/>
      </w:r>
    </w:p>
    <w:p w:rsidR="009D3501" w:rsidRPr="00D43F05" w:rsidRDefault="002E4657" w:rsidP="00F25A51">
      <w:pPr>
        <w:pStyle w:val="NormlWeb"/>
        <w:spacing w:line="360" w:lineRule="auto"/>
        <w:rPr>
          <w:b/>
        </w:rPr>
      </w:pPr>
      <w:r>
        <w:rPr>
          <w:b/>
        </w:rPr>
        <w:lastRenderedPageBreak/>
        <w:t>3.)</w:t>
      </w:r>
      <w:r w:rsidR="00F25A51" w:rsidRPr="00D43F05">
        <w:rPr>
          <w:b/>
        </w:rPr>
        <w:t xml:space="preserve"> Verbinden Sie die Begriffe mit den Definitionen!</w:t>
      </w:r>
    </w:p>
    <w:p w:rsidR="00F25A51" w:rsidRDefault="00F25A51" w:rsidP="00F25A51">
      <w:pPr>
        <w:pStyle w:val="NormlWeb"/>
        <w:spacing w:before="0" w:beforeAutospacing="0" w:after="0" w:afterAutospacing="0" w:line="360" w:lineRule="auto"/>
      </w:pPr>
      <w:r>
        <w:t>a.) Revision</w:t>
      </w:r>
      <w:r>
        <w:tab/>
      </w:r>
      <w:r>
        <w:tab/>
        <w:t>b.) Dekret</w:t>
      </w:r>
      <w:r>
        <w:tab/>
      </w:r>
      <w:r>
        <w:tab/>
        <w:t>c.) Zwangsaussiedlung</w:t>
      </w:r>
    </w:p>
    <w:p w:rsidR="00F25A51" w:rsidRPr="006158AB" w:rsidRDefault="00F25A51" w:rsidP="00F25A51">
      <w:pPr>
        <w:pStyle w:val="NormlWeb"/>
        <w:spacing w:before="0" w:beforeAutospacing="0" w:after="0" w:afterAutospacing="0" w:line="360" w:lineRule="auto"/>
      </w:pPr>
      <w:r>
        <w:t>d.) Kollektivschuld</w:t>
      </w:r>
      <w:r>
        <w:tab/>
      </w:r>
      <w:r>
        <w:tab/>
        <w:t>e.) Bevölkerungsaustausch</w:t>
      </w:r>
    </w:p>
    <w:p w:rsidR="00F73136" w:rsidRDefault="00F73136" w:rsidP="0073637A">
      <w:pPr>
        <w:spacing w:line="360" w:lineRule="auto"/>
      </w:pPr>
    </w:p>
    <w:tbl>
      <w:tblPr>
        <w:tblStyle w:val="Rcsostblzat"/>
        <w:tblW w:w="0" w:type="auto"/>
        <w:tblLook w:val="04A0" w:firstRow="1" w:lastRow="0" w:firstColumn="1" w:lastColumn="0" w:noHBand="0" w:noVBand="1"/>
      </w:tblPr>
      <w:tblGrid>
        <w:gridCol w:w="7083"/>
        <w:gridCol w:w="1979"/>
      </w:tblGrid>
      <w:tr w:rsidR="00F25A51" w:rsidTr="00F25A51">
        <w:tc>
          <w:tcPr>
            <w:tcW w:w="7083" w:type="dxa"/>
          </w:tcPr>
          <w:p w:rsidR="00F25A51" w:rsidRPr="002E4657" w:rsidRDefault="00F25A51" w:rsidP="0073637A">
            <w:pPr>
              <w:spacing w:line="360" w:lineRule="auto"/>
              <w:rPr>
                <w:lang w:val="de-DE"/>
              </w:rPr>
            </w:pPr>
            <w:bookmarkStart w:id="0" w:name="_GoBack" w:colFirst="0" w:colLast="0"/>
            <w:r w:rsidRPr="002E4657">
              <w:rPr>
                <w:lang w:val="de-DE"/>
              </w:rPr>
              <w:t>Definition</w:t>
            </w:r>
          </w:p>
        </w:tc>
        <w:tc>
          <w:tcPr>
            <w:tcW w:w="1979" w:type="dxa"/>
          </w:tcPr>
          <w:p w:rsidR="00F25A51" w:rsidRDefault="00F25A51" w:rsidP="0073637A">
            <w:pPr>
              <w:spacing w:line="360" w:lineRule="auto"/>
            </w:pPr>
            <w:r>
              <w:t>Begriff</w:t>
            </w:r>
          </w:p>
        </w:tc>
      </w:tr>
      <w:tr w:rsidR="00F25A51" w:rsidTr="00F25A51">
        <w:tc>
          <w:tcPr>
            <w:tcW w:w="7083" w:type="dxa"/>
          </w:tcPr>
          <w:p w:rsidR="00F25A51" w:rsidRPr="002E4657" w:rsidRDefault="004A2FE3" w:rsidP="0073637A">
            <w:pPr>
              <w:spacing w:line="360" w:lineRule="auto"/>
              <w:rPr>
                <w:lang w:val="de-DE"/>
              </w:rPr>
            </w:pPr>
            <w:r w:rsidRPr="002E4657">
              <w:rPr>
                <w:lang w:val="de-DE"/>
              </w:rPr>
              <w:t xml:space="preserve">Ein Vertrag über die gegenseitige Aussiedlung der Ungarn aus Oberungarn und der Slowaken aus Ungarn </w:t>
            </w:r>
          </w:p>
        </w:tc>
        <w:tc>
          <w:tcPr>
            <w:tcW w:w="1979" w:type="dxa"/>
          </w:tcPr>
          <w:p w:rsidR="00F25A51" w:rsidRDefault="00F25A51" w:rsidP="0073637A">
            <w:pPr>
              <w:spacing w:line="360" w:lineRule="auto"/>
            </w:pPr>
          </w:p>
        </w:tc>
      </w:tr>
      <w:tr w:rsidR="00F25A51" w:rsidTr="00F25A51">
        <w:tc>
          <w:tcPr>
            <w:tcW w:w="7083" w:type="dxa"/>
          </w:tcPr>
          <w:p w:rsidR="00F25A51" w:rsidRPr="002E4657" w:rsidRDefault="004A2FE3" w:rsidP="0073637A">
            <w:pPr>
              <w:spacing w:line="360" w:lineRule="auto"/>
              <w:rPr>
                <w:lang w:val="de-DE"/>
              </w:rPr>
            </w:pPr>
            <w:r w:rsidRPr="002E4657">
              <w:rPr>
                <w:lang w:val="de-DE"/>
              </w:rPr>
              <w:t>Offizieller Erlass der (obersten) Organe der Staatsgewalt</w:t>
            </w:r>
          </w:p>
        </w:tc>
        <w:tc>
          <w:tcPr>
            <w:tcW w:w="1979" w:type="dxa"/>
          </w:tcPr>
          <w:p w:rsidR="00F25A51" w:rsidRDefault="00F25A51" w:rsidP="0073637A">
            <w:pPr>
              <w:spacing w:line="360" w:lineRule="auto"/>
            </w:pPr>
          </w:p>
        </w:tc>
      </w:tr>
      <w:tr w:rsidR="00F25A51" w:rsidTr="00F25A51">
        <w:tc>
          <w:tcPr>
            <w:tcW w:w="7083" w:type="dxa"/>
          </w:tcPr>
          <w:p w:rsidR="00F25A51" w:rsidRPr="002E4657" w:rsidRDefault="00D43F05" w:rsidP="00D43F05">
            <w:pPr>
              <w:spacing w:line="360" w:lineRule="auto"/>
              <w:rPr>
                <w:lang w:val="de-DE"/>
              </w:rPr>
            </w:pPr>
            <w:r w:rsidRPr="002E4657">
              <w:rPr>
                <w:lang w:val="de-DE"/>
              </w:rPr>
              <w:t>Für</w:t>
            </w:r>
            <w:r w:rsidRPr="002E4657">
              <w:rPr>
                <w:lang w:val="de-DE"/>
              </w:rPr>
              <w:t xml:space="preserve"> eine Tat</w:t>
            </w:r>
            <w:r w:rsidRPr="002E4657">
              <w:rPr>
                <w:lang w:val="de-DE"/>
              </w:rPr>
              <w:t xml:space="preserve"> wird </w:t>
            </w:r>
            <w:r w:rsidRPr="002E4657">
              <w:rPr>
                <w:lang w:val="de-DE"/>
              </w:rPr>
              <w:t>nicht de</w:t>
            </w:r>
            <w:r w:rsidRPr="002E4657">
              <w:rPr>
                <w:lang w:val="de-DE"/>
              </w:rPr>
              <w:t>r</w:t>
            </w:r>
            <w:r w:rsidRPr="002E4657">
              <w:rPr>
                <w:lang w:val="de-DE"/>
              </w:rPr>
              <w:t xml:space="preserve"> einzelne</w:t>
            </w:r>
            <w:r w:rsidRPr="002E4657">
              <w:rPr>
                <w:lang w:val="de-DE"/>
              </w:rPr>
              <w:t xml:space="preserve"> Täter zur Verantwortung gezogen, sondern alle</w:t>
            </w:r>
            <w:r w:rsidRPr="002E4657">
              <w:rPr>
                <w:lang w:val="de-DE"/>
              </w:rPr>
              <w:t xml:space="preserve"> Angehörigen seiner Gruppe</w:t>
            </w:r>
          </w:p>
        </w:tc>
        <w:tc>
          <w:tcPr>
            <w:tcW w:w="1979" w:type="dxa"/>
          </w:tcPr>
          <w:p w:rsidR="00F25A51" w:rsidRDefault="00F25A51" w:rsidP="0073637A">
            <w:pPr>
              <w:spacing w:line="360" w:lineRule="auto"/>
            </w:pPr>
          </w:p>
        </w:tc>
      </w:tr>
      <w:tr w:rsidR="00F25A51" w:rsidTr="00F25A51">
        <w:tc>
          <w:tcPr>
            <w:tcW w:w="7083" w:type="dxa"/>
          </w:tcPr>
          <w:p w:rsidR="00F25A51" w:rsidRPr="002E4657" w:rsidRDefault="001E6547" w:rsidP="0073637A">
            <w:pPr>
              <w:spacing w:line="360" w:lineRule="auto"/>
              <w:rPr>
                <w:lang w:val="de-DE"/>
              </w:rPr>
            </w:pPr>
            <w:r w:rsidRPr="002E4657">
              <w:rPr>
                <w:lang w:val="de-DE"/>
              </w:rPr>
              <w:t>Inspektion, Überprüfung. Ungarn wollte über die neuen Grenzen des Landes von Trianon neu verhandeln, sie überprüfen, verändern.</w:t>
            </w:r>
          </w:p>
        </w:tc>
        <w:tc>
          <w:tcPr>
            <w:tcW w:w="1979" w:type="dxa"/>
          </w:tcPr>
          <w:p w:rsidR="00F25A51" w:rsidRDefault="00F25A51" w:rsidP="0073637A">
            <w:pPr>
              <w:spacing w:line="360" w:lineRule="auto"/>
            </w:pPr>
          </w:p>
        </w:tc>
      </w:tr>
      <w:tr w:rsidR="00F25A51" w:rsidTr="00F25A51">
        <w:tc>
          <w:tcPr>
            <w:tcW w:w="7083" w:type="dxa"/>
          </w:tcPr>
          <w:p w:rsidR="00F25A51" w:rsidRPr="002E4657" w:rsidRDefault="00D43F05" w:rsidP="00D43F05">
            <w:pPr>
              <w:spacing w:line="360" w:lineRule="auto"/>
              <w:rPr>
                <w:lang w:val="de-DE"/>
              </w:rPr>
            </w:pPr>
            <w:r w:rsidRPr="002E4657">
              <w:rPr>
                <w:lang w:val="de-DE"/>
              </w:rPr>
              <w:t>Erzwungene Um</w:t>
            </w:r>
            <w:r w:rsidRPr="002E4657">
              <w:rPr>
                <w:lang w:val="de-DE"/>
              </w:rPr>
              <w:t>siedlung</w:t>
            </w:r>
            <w:r w:rsidRPr="002E4657">
              <w:rPr>
                <w:lang w:val="de-DE"/>
              </w:rPr>
              <w:t xml:space="preserve"> von Personen oder Volksgruppen</w:t>
            </w:r>
            <w:r w:rsidRPr="002E4657">
              <w:rPr>
                <w:lang w:val="de-DE"/>
              </w:rPr>
              <w:t xml:space="preserve"> in ein anderes Land</w:t>
            </w:r>
          </w:p>
        </w:tc>
        <w:tc>
          <w:tcPr>
            <w:tcW w:w="1979" w:type="dxa"/>
          </w:tcPr>
          <w:p w:rsidR="00F25A51" w:rsidRDefault="00F25A51" w:rsidP="0073637A">
            <w:pPr>
              <w:spacing w:line="360" w:lineRule="auto"/>
            </w:pPr>
          </w:p>
        </w:tc>
      </w:tr>
      <w:bookmarkEnd w:id="0"/>
    </w:tbl>
    <w:p w:rsidR="002E4657" w:rsidRDefault="002E4657" w:rsidP="0073637A">
      <w:pPr>
        <w:spacing w:line="360" w:lineRule="auto"/>
      </w:pPr>
    </w:p>
    <w:p w:rsidR="002E4657" w:rsidRPr="0073637A" w:rsidRDefault="002E4657" w:rsidP="002E4657">
      <w:pPr>
        <w:pStyle w:val="Listaszerbekezds"/>
        <w:numPr>
          <w:ilvl w:val="0"/>
          <w:numId w:val="6"/>
        </w:numPr>
        <w:spacing w:line="360" w:lineRule="auto"/>
        <w:ind w:left="993" w:hanging="993"/>
      </w:pPr>
      <w:r>
        <w:rPr>
          <w:lang w:val="de-DE"/>
        </w:rPr>
        <w:t xml:space="preserve">Entscheiden Sie, in welchem Land hätten die Ungarn gelebt, die die folgenden erfundenen Sätze hätten sagen können! Schreiben Sie die Nummer der Länder in die Tabelle! </w:t>
      </w:r>
      <w:r w:rsidRPr="00DF7DB4">
        <w:rPr>
          <w:i/>
          <w:lang w:val="de-DE"/>
        </w:rPr>
        <w:t>Eine Nummer kann mehrmals verwendet werden.</w:t>
      </w:r>
    </w:p>
    <w:p w:rsidR="00D235F3" w:rsidRPr="0073637A" w:rsidRDefault="00D235F3" w:rsidP="002E4657">
      <w:pPr>
        <w:spacing w:after="0" w:line="360" w:lineRule="auto"/>
      </w:pPr>
      <w:r w:rsidRPr="0073637A">
        <w:drawing>
          <wp:inline distT="0" distB="0" distL="0" distR="0" wp14:anchorId="560BE643" wp14:editId="42BE4AAC">
            <wp:extent cx="5583959" cy="33299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8992" cy="3332942"/>
                    </a:xfrm>
                    <a:prstGeom prst="rect">
                      <a:avLst/>
                    </a:prstGeom>
                  </pic:spPr>
                </pic:pic>
              </a:graphicData>
            </a:graphic>
          </wp:inline>
        </w:drawing>
      </w:r>
    </w:p>
    <w:p w:rsidR="00D235F3" w:rsidRPr="002E4657" w:rsidRDefault="00D235F3" w:rsidP="002E4657">
      <w:pPr>
        <w:spacing w:after="0" w:line="360" w:lineRule="auto"/>
        <w:rPr>
          <w:i/>
          <w:lang w:val="de-DE"/>
        </w:rPr>
      </w:pPr>
      <w:r w:rsidRPr="002E4657">
        <w:rPr>
          <w:i/>
          <w:lang w:val="de-DE"/>
        </w:rPr>
        <w:t>Mitteleuropa 1945-1946</w:t>
      </w:r>
    </w:p>
    <w:p w:rsidR="00062B4C" w:rsidRDefault="00062B4C" w:rsidP="0073637A">
      <w:pPr>
        <w:spacing w:line="360" w:lineRule="auto"/>
        <w:rPr>
          <w:i/>
          <w:lang w:val="de-DE"/>
        </w:rPr>
      </w:pPr>
    </w:p>
    <w:tbl>
      <w:tblPr>
        <w:tblStyle w:val="Rcsostblzat"/>
        <w:tblW w:w="0" w:type="auto"/>
        <w:tblLook w:val="04A0" w:firstRow="1" w:lastRow="0" w:firstColumn="1" w:lastColumn="0" w:noHBand="0" w:noVBand="1"/>
      </w:tblPr>
      <w:tblGrid>
        <w:gridCol w:w="7992"/>
        <w:gridCol w:w="1070"/>
      </w:tblGrid>
      <w:tr w:rsidR="00DF7DB4" w:rsidTr="00DF7DB4">
        <w:tc>
          <w:tcPr>
            <w:tcW w:w="8075" w:type="dxa"/>
          </w:tcPr>
          <w:p w:rsidR="00DF7DB4" w:rsidRDefault="00DF7DB4" w:rsidP="0073637A">
            <w:pPr>
              <w:spacing w:line="360" w:lineRule="auto"/>
              <w:rPr>
                <w:lang w:val="de-DE"/>
              </w:rPr>
            </w:pPr>
            <w:r>
              <w:rPr>
                <w:lang w:val="de-DE"/>
              </w:rPr>
              <w:t xml:space="preserve">Erfundene </w:t>
            </w:r>
            <w:r w:rsidR="00C97E19">
              <w:rPr>
                <w:lang w:val="de-DE"/>
              </w:rPr>
              <w:t>Berichte</w:t>
            </w:r>
          </w:p>
        </w:tc>
        <w:tc>
          <w:tcPr>
            <w:tcW w:w="987" w:type="dxa"/>
          </w:tcPr>
          <w:p w:rsidR="00DF7DB4" w:rsidRDefault="00DF7DB4" w:rsidP="0073637A">
            <w:pPr>
              <w:spacing w:line="360" w:lineRule="auto"/>
              <w:rPr>
                <w:lang w:val="de-DE"/>
              </w:rPr>
            </w:pPr>
            <w:r>
              <w:rPr>
                <w:lang w:val="de-DE"/>
              </w:rPr>
              <w:t>Nummer</w:t>
            </w:r>
          </w:p>
        </w:tc>
      </w:tr>
      <w:tr w:rsidR="00DF7DB4" w:rsidTr="00DF7DB4">
        <w:tc>
          <w:tcPr>
            <w:tcW w:w="8075" w:type="dxa"/>
          </w:tcPr>
          <w:p w:rsidR="00DF7DB4" w:rsidRDefault="00DF7DB4" w:rsidP="00DF7DB4">
            <w:pPr>
              <w:spacing w:line="360" w:lineRule="auto"/>
              <w:rPr>
                <w:lang w:val="de-DE"/>
              </w:rPr>
            </w:pPr>
            <w:r>
              <w:rPr>
                <w:lang w:val="de-DE"/>
              </w:rPr>
              <w:t>„Ich weiß nicht, was mit uns passieren wird! Laut der neuen G</w:t>
            </w:r>
            <w:r w:rsidR="00502C2B">
              <w:rPr>
                <w:lang w:val="de-DE"/>
              </w:rPr>
              <w:t>esetze werden wir wegen unserer Abstammung kollektiv bestraft, unsere Staatsbürgerschaft wird entzogen, unser Vermögen weggenommen, wenn wir unser Ungarntum nicht verleugnen.“</w:t>
            </w:r>
          </w:p>
        </w:tc>
        <w:tc>
          <w:tcPr>
            <w:tcW w:w="987" w:type="dxa"/>
          </w:tcPr>
          <w:p w:rsidR="00DF7DB4" w:rsidRDefault="00DF7DB4" w:rsidP="0073637A">
            <w:pPr>
              <w:spacing w:line="360" w:lineRule="auto"/>
              <w:rPr>
                <w:lang w:val="de-DE"/>
              </w:rPr>
            </w:pPr>
          </w:p>
        </w:tc>
      </w:tr>
      <w:tr w:rsidR="00DF7DB4" w:rsidTr="00DF7DB4">
        <w:tc>
          <w:tcPr>
            <w:tcW w:w="8075" w:type="dxa"/>
          </w:tcPr>
          <w:p w:rsidR="00DF7DB4" w:rsidRDefault="00502C2B" w:rsidP="0073637A">
            <w:pPr>
              <w:spacing w:line="360" w:lineRule="auto"/>
              <w:rPr>
                <w:lang w:val="de-DE"/>
              </w:rPr>
            </w:pPr>
            <w:r>
              <w:rPr>
                <w:lang w:val="de-DE"/>
              </w:rPr>
              <w:t>„ Wir haben riesengroße Angst, weil wir gehört haben, dass die Maniu-Gardisten in mehreren ungarischen Dörfern geplündert und Menschen ermordet haben.“</w:t>
            </w:r>
          </w:p>
        </w:tc>
        <w:tc>
          <w:tcPr>
            <w:tcW w:w="987" w:type="dxa"/>
          </w:tcPr>
          <w:p w:rsidR="00DF7DB4" w:rsidRDefault="00DF7DB4" w:rsidP="0073637A">
            <w:pPr>
              <w:spacing w:line="360" w:lineRule="auto"/>
              <w:rPr>
                <w:lang w:val="de-DE"/>
              </w:rPr>
            </w:pPr>
          </w:p>
        </w:tc>
      </w:tr>
      <w:tr w:rsidR="00DF7DB4" w:rsidTr="00DF7DB4">
        <w:tc>
          <w:tcPr>
            <w:tcW w:w="8075" w:type="dxa"/>
          </w:tcPr>
          <w:p w:rsidR="00DF7DB4" w:rsidRDefault="00CA642D" w:rsidP="0073637A">
            <w:pPr>
              <w:spacing w:line="360" w:lineRule="auto"/>
              <w:rPr>
                <w:lang w:val="de-DE"/>
              </w:rPr>
            </w:pPr>
            <w:r>
              <w:rPr>
                <w:lang w:val="de-DE"/>
              </w:rPr>
              <w:t>„</w:t>
            </w:r>
            <w:r w:rsidR="006936B2">
              <w:rPr>
                <w:lang w:val="de-DE"/>
              </w:rPr>
              <w:t xml:space="preserve">Es wird gesagt, dass schreckliche Tage kommen, man möchte uns wegen der „kalten Tage“ vom 1942 </w:t>
            </w:r>
            <w:r w:rsidR="00716371">
              <w:rPr>
                <w:lang w:val="de-DE"/>
              </w:rPr>
              <w:t>Vergeltung ausüben.“</w:t>
            </w:r>
          </w:p>
        </w:tc>
        <w:tc>
          <w:tcPr>
            <w:tcW w:w="987" w:type="dxa"/>
          </w:tcPr>
          <w:p w:rsidR="00DF7DB4" w:rsidRDefault="00DF7DB4" w:rsidP="0073637A">
            <w:pPr>
              <w:spacing w:line="360" w:lineRule="auto"/>
              <w:rPr>
                <w:lang w:val="de-DE"/>
              </w:rPr>
            </w:pPr>
          </w:p>
        </w:tc>
      </w:tr>
      <w:tr w:rsidR="00DF7DB4" w:rsidTr="00DF7DB4">
        <w:tc>
          <w:tcPr>
            <w:tcW w:w="8075" w:type="dxa"/>
          </w:tcPr>
          <w:p w:rsidR="00DF7DB4" w:rsidRDefault="00CA642D" w:rsidP="00CA642D">
            <w:pPr>
              <w:spacing w:line="360" w:lineRule="auto"/>
              <w:rPr>
                <w:lang w:val="de-DE"/>
              </w:rPr>
            </w:pPr>
            <w:r>
              <w:rPr>
                <w:lang w:val="de-DE"/>
              </w:rPr>
              <w:t xml:space="preserve">„Kurz danach, dass </w:t>
            </w:r>
            <w:r w:rsidRPr="00CA642D">
              <w:rPr>
                <w:lang w:val="de-DE"/>
              </w:rPr>
              <w:t xml:space="preserve">die Front </w:t>
            </w:r>
            <w:r>
              <w:rPr>
                <w:lang w:val="de-DE"/>
              </w:rPr>
              <w:t>vorbei war</w:t>
            </w:r>
            <w:r w:rsidRPr="00CA642D">
              <w:rPr>
                <w:lang w:val="de-DE"/>
              </w:rPr>
              <w:t xml:space="preserve">, trommelte der Richter sofort heraus, dass sich alle erwachsenen deutschen und ungarischen Staatsbürger </w:t>
            </w:r>
            <w:r>
              <w:rPr>
                <w:lang w:val="de-DE"/>
              </w:rPr>
              <w:t>zur</w:t>
            </w:r>
            <w:r w:rsidRPr="00CA642D">
              <w:rPr>
                <w:lang w:val="de-DE"/>
              </w:rPr>
              <w:t xml:space="preserve"> Arbeit </w:t>
            </w:r>
            <w:r>
              <w:rPr>
                <w:lang w:val="de-DE"/>
              </w:rPr>
              <w:t>melden</w:t>
            </w:r>
            <w:r w:rsidRPr="00CA642D">
              <w:rPr>
                <w:lang w:val="de-DE"/>
              </w:rPr>
              <w:t xml:space="preserve"> sollten. Ich fürchte, wir müssen nicht zu Hause</w:t>
            </w:r>
            <w:r>
              <w:rPr>
                <w:lang w:val="de-DE"/>
              </w:rPr>
              <w:t>, sondern im weiten Osten</w:t>
            </w:r>
            <w:r w:rsidRPr="00CA642D">
              <w:rPr>
                <w:lang w:val="de-DE"/>
              </w:rPr>
              <w:t xml:space="preserve"> arbeiten</w:t>
            </w:r>
            <w:r>
              <w:rPr>
                <w:lang w:val="de-DE"/>
              </w:rPr>
              <w:t>.“</w:t>
            </w:r>
          </w:p>
        </w:tc>
        <w:tc>
          <w:tcPr>
            <w:tcW w:w="987" w:type="dxa"/>
          </w:tcPr>
          <w:p w:rsidR="00DF7DB4" w:rsidRDefault="00DF7DB4" w:rsidP="0073637A">
            <w:pPr>
              <w:spacing w:line="360" w:lineRule="auto"/>
              <w:rPr>
                <w:lang w:val="de-DE"/>
              </w:rPr>
            </w:pPr>
          </w:p>
        </w:tc>
      </w:tr>
      <w:tr w:rsidR="00DF7DB4" w:rsidTr="00DF7DB4">
        <w:tc>
          <w:tcPr>
            <w:tcW w:w="8075" w:type="dxa"/>
          </w:tcPr>
          <w:p w:rsidR="00DF7DB4" w:rsidRDefault="00CA642D" w:rsidP="0073637A">
            <w:pPr>
              <w:spacing w:line="360" w:lineRule="auto"/>
              <w:rPr>
                <w:lang w:val="de-DE"/>
              </w:rPr>
            </w:pPr>
            <w:r>
              <w:rPr>
                <w:lang w:val="de-DE"/>
              </w:rPr>
              <w:t>„Es scheint so, dass wieder schwere Zeiten kommen, aber wir hoffen, dass unser B</w:t>
            </w:r>
            <w:r w:rsidR="004A6FFE">
              <w:rPr>
                <w:lang w:val="de-DE"/>
              </w:rPr>
              <w:t>ischof</w:t>
            </w:r>
            <w:r>
              <w:rPr>
                <w:lang w:val="de-DE"/>
              </w:rPr>
              <w:t xml:space="preserve"> Áron Márton uns helfen wird!“</w:t>
            </w:r>
          </w:p>
        </w:tc>
        <w:tc>
          <w:tcPr>
            <w:tcW w:w="987" w:type="dxa"/>
          </w:tcPr>
          <w:p w:rsidR="00DF7DB4" w:rsidRDefault="00DF7DB4" w:rsidP="0073637A">
            <w:pPr>
              <w:spacing w:line="360" w:lineRule="auto"/>
              <w:rPr>
                <w:lang w:val="de-DE"/>
              </w:rPr>
            </w:pPr>
          </w:p>
        </w:tc>
      </w:tr>
      <w:tr w:rsidR="00DF7DB4" w:rsidTr="00DF7DB4">
        <w:tc>
          <w:tcPr>
            <w:tcW w:w="8075" w:type="dxa"/>
          </w:tcPr>
          <w:p w:rsidR="00DF7DB4" w:rsidRDefault="004A6FFE" w:rsidP="0073637A">
            <w:pPr>
              <w:spacing w:line="360" w:lineRule="auto"/>
              <w:rPr>
                <w:lang w:val="de-DE"/>
              </w:rPr>
            </w:pPr>
            <w:r>
              <w:rPr>
                <w:lang w:val="de-DE"/>
              </w:rPr>
              <w:t xml:space="preserve">„Die Partisanen </w:t>
            </w:r>
          </w:p>
        </w:tc>
        <w:tc>
          <w:tcPr>
            <w:tcW w:w="987" w:type="dxa"/>
          </w:tcPr>
          <w:p w:rsidR="00DF7DB4" w:rsidRDefault="00DF7DB4" w:rsidP="0073637A">
            <w:pPr>
              <w:spacing w:line="360" w:lineRule="auto"/>
              <w:rPr>
                <w:lang w:val="de-DE"/>
              </w:rPr>
            </w:pPr>
          </w:p>
        </w:tc>
      </w:tr>
      <w:tr w:rsidR="00DF7DB4" w:rsidTr="00DF7DB4">
        <w:tc>
          <w:tcPr>
            <w:tcW w:w="8075" w:type="dxa"/>
          </w:tcPr>
          <w:p w:rsidR="00DF7DB4" w:rsidRDefault="004A6FFE" w:rsidP="0073637A">
            <w:pPr>
              <w:spacing w:line="360" w:lineRule="auto"/>
              <w:rPr>
                <w:lang w:val="de-DE"/>
              </w:rPr>
            </w:pPr>
            <w:r>
              <w:rPr>
                <w:lang w:val="de-DE"/>
              </w:rPr>
              <w:t>„Die Lage wird immer schlechter und unser geliebter Abgeordnete, János Esterházy wurde von den Sowjets gefangengenommen.“</w:t>
            </w:r>
          </w:p>
        </w:tc>
        <w:tc>
          <w:tcPr>
            <w:tcW w:w="987" w:type="dxa"/>
          </w:tcPr>
          <w:p w:rsidR="00DF7DB4" w:rsidRDefault="00DF7DB4" w:rsidP="0073637A">
            <w:pPr>
              <w:spacing w:line="360" w:lineRule="auto"/>
              <w:rPr>
                <w:lang w:val="de-DE"/>
              </w:rPr>
            </w:pPr>
          </w:p>
        </w:tc>
      </w:tr>
    </w:tbl>
    <w:p w:rsidR="00DF7DB4" w:rsidRPr="00DF7DB4" w:rsidRDefault="00DF7DB4" w:rsidP="0073637A">
      <w:pPr>
        <w:spacing w:line="360" w:lineRule="auto"/>
        <w:rPr>
          <w:lang w:val="de-DE"/>
        </w:rPr>
      </w:pPr>
    </w:p>
    <w:p w:rsidR="00D235F3" w:rsidRPr="0073637A" w:rsidRDefault="00C97E19" w:rsidP="00592E9D">
      <w:pPr>
        <w:pStyle w:val="NormlWeb"/>
        <w:spacing w:line="360" w:lineRule="auto"/>
      </w:pPr>
      <w:r>
        <w:t>(</w:t>
      </w:r>
      <w:r w:rsidR="00D235F3" w:rsidRPr="0073637A">
        <w:t>Quelle: Gyüjtemény a történelem emelt szintű oktatásához 11-12. évfolyam, Oktatási Hivatal 2022. S. 230)</w:t>
      </w:r>
    </w:p>
    <w:sectPr w:rsidR="00D235F3" w:rsidRPr="0073637A" w:rsidSect="00592E9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B4C" w:rsidRDefault="00062B4C" w:rsidP="00062B4C">
      <w:pPr>
        <w:spacing w:after="0" w:line="240" w:lineRule="auto"/>
      </w:pPr>
      <w:r>
        <w:separator/>
      </w:r>
    </w:p>
  </w:endnote>
  <w:endnote w:type="continuationSeparator" w:id="0">
    <w:p w:rsidR="00062B4C" w:rsidRDefault="00062B4C" w:rsidP="0006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629716"/>
      <w:docPartObj>
        <w:docPartGallery w:val="Page Numbers (Bottom of Page)"/>
        <w:docPartUnique/>
      </w:docPartObj>
    </w:sdtPr>
    <w:sdtContent>
      <w:p w:rsidR="00062B4C" w:rsidRDefault="00062B4C">
        <w:pPr>
          <w:pStyle w:val="llb"/>
          <w:jc w:val="center"/>
        </w:pPr>
        <w:r>
          <w:fldChar w:fldCharType="begin"/>
        </w:r>
        <w:r>
          <w:instrText>PAGE   \* MERGEFORMAT</w:instrText>
        </w:r>
        <w:r>
          <w:fldChar w:fldCharType="separate"/>
        </w:r>
        <w:r w:rsidR="00A34D16">
          <w:rPr>
            <w:noProof/>
          </w:rPr>
          <w:t>6</w:t>
        </w:r>
        <w:r>
          <w:fldChar w:fldCharType="end"/>
        </w:r>
      </w:p>
    </w:sdtContent>
  </w:sdt>
  <w:p w:rsidR="00062B4C" w:rsidRDefault="00062B4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B4C" w:rsidRDefault="00062B4C" w:rsidP="00062B4C">
      <w:pPr>
        <w:spacing w:after="0" w:line="240" w:lineRule="auto"/>
      </w:pPr>
      <w:r>
        <w:separator/>
      </w:r>
    </w:p>
  </w:footnote>
  <w:footnote w:type="continuationSeparator" w:id="0">
    <w:p w:rsidR="00062B4C" w:rsidRDefault="00062B4C" w:rsidP="00062B4C">
      <w:pPr>
        <w:spacing w:after="0" w:line="240" w:lineRule="auto"/>
      </w:pPr>
      <w:r>
        <w:continuationSeparator/>
      </w:r>
    </w:p>
  </w:footnote>
  <w:footnote w:id="1">
    <w:p w:rsidR="008B4B14" w:rsidRDefault="008B4B14">
      <w:pPr>
        <w:pStyle w:val="Lbjegyzetszveg"/>
      </w:pPr>
      <w:r>
        <w:rPr>
          <w:rStyle w:val="Lbjegyzet-hivatkozs"/>
        </w:rPr>
        <w:footnoteRef/>
      </w:r>
      <w:r>
        <w:t xml:space="preserve"> Eine sehr gute Liste über die ausgesiedelten Ungarn nach Ungarn:</w:t>
      </w:r>
    </w:p>
    <w:p w:rsidR="008B4B14" w:rsidRDefault="008B4B14">
      <w:pPr>
        <w:pStyle w:val="Lbjegyzetszveg"/>
      </w:pPr>
      <w:r w:rsidRPr="008B4B14">
        <w:t>https://www.watson.sk/index.php</w:t>
      </w:r>
      <w:proofErr w:type="gramStart"/>
      <w:r w:rsidRPr="008B4B14">
        <w:t>?option</w:t>
      </w:r>
      <w:proofErr w:type="gramEnd"/>
      <w:r w:rsidRPr="008B4B14">
        <w:t>=com_content&amp;view=article&amp;id=3774&amp;PHPSESSID=3850efcef614465cee4d88ee13c1630d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92E"/>
    <w:multiLevelType w:val="hybridMultilevel"/>
    <w:tmpl w:val="790AE53C"/>
    <w:lvl w:ilvl="0" w:tplc="040E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B572EFB"/>
    <w:multiLevelType w:val="hybridMultilevel"/>
    <w:tmpl w:val="348E9BF0"/>
    <w:lvl w:ilvl="0" w:tplc="FB467732">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E0E3029"/>
    <w:multiLevelType w:val="hybridMultilevel"/>
    <w:tmpl w:val="FA96F96A"/>
    <w:lvl w:ilvl="0" w:tplc="56B616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2934D9"/>
    <w:multiLevelType w:val="hybridMultilevel"/>
    <w:tmpl w:val="FA96F96A"/>
    <w:lvl w:ilvl="0" w:tplc="56B616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F065E2"/>
    <w:multiLevelType w:val="hybridMultilevel"/>
    <w:tmpl w:val="0C520988"/>
    <w:lvl w:ilvl="0" w:tplc="008422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F95892"/>
    <w:multiLevelType w:val="multilevel"/>
    <w:tmpl w:val="2588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9D"/>
    <w:rsid w:val="00012F06"/>
    <w:rsid w:val="00062B4C"/>
    <w:rsid w:val="00065E21"/>
    <w:rsid w:val="000861B5"/>
    <w:rsid w:val="000A138F"/>
    <w:rsid w:val="000E6827"/>
    <w:rsid w:val="00122144"/>
    <w:rsid w:val="001448E8"/>
    <w:rsid w:val="00157FDB"/>
    <w:rsid w:val="001702F4"/>
    <w:rsid w:val="001922BC"/>
    <w:rsid w:val="001C1A0E"/>
    <w:rsid w:val="001E6547"/>
    <w:rsid w:val="00231B8B"/>
    <w:rsid w:val="002E4657"/>
    <w:rsid w:val="0030418E"/>
    <w:rsid w:val="003B0C5A"/>
    <w:rsid w:val="004062E4"/>
    <w:rsid w:val="004A2FE3"/>
    <w:rsid w:val="004A6FFE"/>
    <w:rsid w:val="004B790C"/>
    <w:rsid w:val="004D5E80"/>
    <w:rsid w:val="00502C2B"/>
    <w:rsid w:val="00527261"/>
    <w:rsid w:val="00592E9D"/>
    <w:rsid w:val="005C17D9"/>
    <w:rsid w:val="005D4691"/>
    <w:rsid w:val="00612686"/>
    <w:rsid w:val="006158AB"/>
    <w:rsid w:val="006936B2"/>
    <w:rsid w:val="00716371"/>
    <w:rsid w:val="0073637A"/>
    <w:rsid w:val="00750D14"/>
    <w:rsid w:val="00766661"/>
    <w:rsid w:val="007709D8"/>
    <w:rsid w:val="00780341"/>
    <w:rsid w:val="00783E7D"/>
    <w:rsid w:val="00843CA9"/>
    <w:rsid w:val="008B4B14"/>
    <w:rsid w:val="008D26ED"/>
    <w:rsid w:val="00936190"/>
    <w:rsid w:val="00941A48"/>
    <w:rsid w:val="00947D18"/>
    <w:rsid w:val="009557AA"/>
    <w:rsid w:val="0098796B"/>
    <w:rsid w:val="00993FC9"/>
    <w:rsid w:val="009D3501"/>
    <w:rsid w:val="009E40F2"/>
    <w:rsid w:val="009E689F"/>
    <w:rsid w:val="00A34D16"/>
    <w:rsid w:val="00A53F9A"/>
    <w:rsid w:val="00A75240"/>
    <w:rsid w:val="00A8469D"/>
    <w:rsid w:val="00AA7DFD"/>
    <w:rsid w:val="00AB2C7D"/>
    <w:rsid w:val="00AC0150"/>
    <w:rsid w:val="00AD7337"/>
    <w:rsid w:val="00B01803"/>
    <w:rsid w:val="00B64EAE"/>
    <w:rsid w:val="00C0165C"/>
    <w:rsid w:val="00C911BD"/>
    <w:rsid w:val="00C913BD"/>
    <w:rsid w:val="00C97E19"/>
    <w:rsid w:val="00CA642D"/>
    <w:rsid w:val="00CC7F58"/>
    <w:rsid w:val="00D235F3"/>
    <w:rsid w:val="00D43F05"/>
    <w:rsid w:val="00D5038C"/>
    <w:rsid w:val="00D55376"/>
    <w:rsid w:val="00D5549A"/>
    <w:rsid w:val="00D91A63"/>
    <w:rsid w:val="00DA5C64"/>
    <w:rsid w:val="00DB6D11"/>
    <w:rsid w:val="00DC1354"/>
    <w:rsid w:val="00DE7BA9"/>
    <w:rsid w:val="00DF7DB4"/>
    <w:rsid w:val="00E1548A"/>
    <w:rsid w:val="00EA2553"/>
    <w:rsid w:val="00F0087C"/>
    <w:rsid w:val="00F25A51"/>
    <w:rsid w:val="00F731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08D2A1"/>
  <w15:chartTrackingRefBased/>
  <w15:docId w15:val="{14285021-7071-4920-A271-0E0D3038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DC1354"/>
    <w:pPr>
      <w:spacing w:before="100" w:beforeAutospacing="1" w:after="100" w:afterAutospacing="1" w:line="240" w:lineRule="auto"/>
      <w:outlineLvl w:val="1"/>
    </w:pPr>
    <w:rPr>
      <w:rFonts w:eastAsia="Times New Roman"/>
      <w:b/>
      <w:bCs/>
      <w:sz w:val="36"/>
      <w:szCs w:val="36"/>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A8469D"/>
    <w:pPr>
      <w:spacing w:before="100" w:beforeAutospacing="1" w:after="100" w:afterAutospacing="1" w:line="240" w:lineRule="auto"/>
    </w:pPr>
    <w:rPr>
      <w:rFonts w:eastAsia="Times New Roman"/>
      <w:lang w:val="de-DE" w:eastAsia="de-DE"/>
    </w:rPr>
  </w:style>
  <w:style w:type="character" w:styleId="Kiemels">
    <w:name w:val="Emphasis"/>
    <w:basedOn w:val="Bekezdsalapbettpusa"/>
    <w:uiPriority w:val="20"/>
    <w:qFormat/>
    <w:rsid w:val="00A8469D"/>
    <w:rPr>
      <w:i/>
      <w:iCs/>
    </w:rPr>
  </w:style>
  <w:style w:type="character" w:styleId="Hiperhivatkozs">
    <w:name w:val="Hyperlink"/>
    <w:basedOn w:val="Bekezdsalapbettpusa"/>
    <w:uiPriority w:val="99"/>
    <w:semiHidden/>
    <w:unhideWhenUsed/>
    <w:rsid w:val="00A8469D"/>
    <w:rPr>
      <w:color w:val="0000FF"/>
      <w:u w:val="single"/>
    </w:rPr>
  </w:style>
  <w:style w:type="character" w:styleId="Kiemels2">
    <w:name w:val="Strong"/>
    <w:basedOn w:val="Bekezdsalapbettpusa"/>
    <w:uiPriority w:val="22"/>
    <w:qFormat/>
    <w:rsid w:val="00DC1354"/>
    <w:rPr>
      <w:b/>
      <w:bCs/>
    </w:rPr>
  </w:style>
  <w:style w:type="character" w:customStyle="1" w:styleId="Cmsor2Char">
    <w:name w:val="Címsor 2 Char"/>
    <w:basedOn w:val="Bekezdsalapbettpusa"/>
    <w:link w:val="Cmsor2"/>
    <w:uiPriority w:val="9"/>
    <w:rsid w:val="00DC1354"/>
    <w:rPr>
      <w:rFonts w:eastAsia="Times New Roman"/>
      <w:b/>
      <w:bCs/>
      <w:sz w:val="36"/>
      <w:szCs w:val="36"/>
      <w:lang w:val="de-DE" w:eastAsia="de-DE"/>
    </w:rPr>
  </w:style>
  <w:style w:type="character" w:customStyle="1" w:styleId="modal-control">
    <w:name w:val="modal-control"/>
    <w:basedOn w:val="Bekezdsalapbettpusa"/>
    <w:rsid w:val="00DC1354"/>
  </w:style>
  <w:style w:type="character" w:customStyle="1" w:styleId="has-tip">
    <w:name w:val="has-tip"/>
    <w:basedOn w:val="Bekezdsalapbettpusa"/>
    <w:rsid w:val="00DC1354"/>
  </w:style>
  <w:style w:type="paragraph" w:styleId="Listaszerbekezds">
    <w:name w:val="List Paragraph"/>
    <w:basedOn w:val="Norml"/>
    <w:uiPriority w:val="34"/>
    <w:qFormat/>
    <w:rsid w:val="00527261"/>
    <w:pPr>
      <w:ind w:left="720"/>
      <w:contextualSpacing/>
    </w:pPr>
  </w:style>
  <w:style w:type="table" w:styleId="Rcsostblzat">
    <w:name w:val="Table Grid"/>
    <w:basedOn w:val="Normltblzat"/>
    <w:uiPriority w:val="39"/>
    <w:rsid w:val="00A5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2B4C"/>
    <w:pPr>
      <w:tabs>
        <w:tab w:val="center" w:pos="4536"/>
        <w:tab w:val="right" w:pos="9072"/>
      </w:tabs>
      <w:spacing w:after="0" w:line="240" w:lineRule="auto"/>
    </w:pPr>
  </w:style>
  <w:style w:type="character" w:customStyle="1" w:styleId="lfejChar">
    <w:name w:val="Élőfej Char"/>
    <w:basedOn w:val="Bekezdsalapbettpusa"/>
    <w:link w:val="lfej"/>
    <w:uiPriority w:val="99"/>
    <w:rsid w:val="00062B4C"/>
  </w:style>
  <w:style w:type="paragraph" w:styleId="llb">
    <w:name w:val="footer"/>
    <w:basedOn w:val="Norml"/>
    <w:link w:val="llbChar"/>
    <w:uiPriority w:val="99"/>
    <w:unhideWhenUsed/>
    <w:rsid w:val="00062B4C"/>
    <w:pPr>
      <w:tabs>
        <w:tab w:val="center" w:pos="4536"/>
        <w:tab w:val="right" w:pos="9072"/>
      </w:tabs>
      <w:spacing w:after="0" w:line="240" w:lineRule="auto"/>
    </w:pPr>
  </w:style>
  <w:style w:type="character" w:customStyle="1" w:styleId="llbChar">
    <w:name w:val="Élőláb Char"/>
    <w:basedOn w:val="Bekezdsalapbettpusa"/>
    <w:link w:val="llb"/>
    <w:uiPriority w:val="99"/>
    <w:rsid w:val="00062B4C"/>
  </w:style>
  <w:style w:type="paragraph" w:styleId="Lbjegyzetszveg">
    <w:name w:val="footnote text"/>
    <w:basedOn w:val="Norml"/>
    <w:link w:val="LbjegyzetszvegChar"/>
    <w:uiPriority w:val="99"/>
    <w:semiHidden/>
    <w:unhideWhenUsed/>
    <w:rsid w:val="008B4B1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B4B14"/>
    <w:rPr>
      <w:sz w:val="20"/>
      <w:szCs w:val="20"/>
    </w:rPr>
  </w:style>
  <w:style w:type="character" w:styleId="Lbjegyzet-hivatkozs">
    <w:name w:val="footnote reference"/>
    <w:basedOn w:val="Bekezdsalapbettpusa"/>
    <w:uiPriority w:val="99"/>
    <w:semiHidden/>
    <w:unhideWhenUsed/>
    <w:rsid w:val="008B4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8587">
      <w:bodyDiv w:val="1"/>
      <w:marLeft w:val="0"/>
      <w:marRight w:val="0"/>
      <w:marTop w:val="0"/>
      <w:marBottom w:val="0"/>
      <w:divBdr>
        <w:top w:val="none" w:sz="0" w:space="0" w:color="auto"/>
        <w:left w:val="none" w:sz="0" w:space="0" w:color="auto"/>
        <w:bottom w:val="none" w:sz="0" w:space="0" w:color="auto"/>
        <w:right w:val="none" w:sz="0" w:space="0" w:color="auto"/>
      </w:divBdr>
    </w:div>
    <w:div w:id="330958479">
      <w:bodyDiv w:val="1"/>
      <w:marLeft w:val="0"/>
      <w:marRight w:val="0"/>
      <w:marTop w:val="0"/>
      <w:marBottom w:val="0"/>
      <w:divBdr>
        <w:top w:val="none" w:sz="0" w:space="0" w:color="auto"/>
        <w:left w:val="none" w:sz="0" w:space="0" w:color="auto"/>
        <w:bottom w:val="none" w:sz="0" w:space="0" w:color="auto"/>
        <w:right w:val="none" w:sz="0" w:space="0" w:color="auto"/>
      </w:divBdr>
    </w:div>
    <w:div w:id="381247292">
      <w:bodyDiv w:val="1"/>
      <w:marLeft w:val="0"/>
      <w:marRight w:val="0"/>
      <w:marTop w:val="0"/>
      <w:marBottom w:val="0"/>
      <w:divBdr>
        <w:top w:val="none" w:sz="0" w:space="0" w:color="auto"/>
        <w:left w:val="none" w:sz="0" w:space="0" w:color="auto"/>
        <w:bottom w:val="none" w:sz="0" w:space="0" w:color="auto"/>
        <w:right w:val="none" w:sz="0" w:space="0" w:color="auto"/>
      </w:divBdr>
    </w:div>
    <w:div w:id="736053563">
      <w:bodyDiv w:val="1"/>
      <w:marLeft w:val="0"/>
      <w:marRight w:val="0"/>
      <w:marTop w:val="0"/>
      <w:marBottom w:val="0"/>
      <w:divBdr>
        <w:top w:val="none" w:sz="0" w:space="0" w:color="auto"/>
        <w:left w:val="none" w:sz="0" w:space="0" w:color="auto"/>
        <w:bottom w:val="none" w:sz="0" w:space="0" w:color="auto"/>
        <w:right w:val="none" w:sz="0" w:space="0" w:color="auto"/>
      </w:divBdr>
    </w:div>
    <w:div w:id="1160274597">
      <w:bodyDiv w:val="1"/>
      <w:marLeft w:val="0"/>
      <w:marRight w:val="0"/>
      <w:marTop w:val="0"/>
      <w:marBottom w:val="0"/>
      <w:divBdr>
        <w:top w:val="none" w:sz="0" w:space="0" w:color="auto"/>
        <w:left w:val="none" w:sz="0" w:space="0" w:color="auto"/>
        <w:bottom w:val="none" w:sz="0" w:space="0" w:color="auto"/>
        <w:right w:val="none" w:sz="0" w:space="0" w:color="auto"/>
      </w:divBdr>
    </w:div>
    <w:div w:id="1244218710">
      <w:bodyDiv w:val="1"/>
      <w:marLeft w:val="0"/>
      <w:marRight w:val="0"/>
      <w:marTop w:val="0"/>
      <w:marBottom w:val="0"/>
      <w:divBdr>
        <w:top w:val="none" w:sz="0" w:space="0" w:color="auto"/>
        <w:left w:val="none" w:sz="0" w:space="0" w:color="auto"/>
        <w:bottom w:val="none" w:sz="0" w:space="0" w:color="auto"/>
        <w:right w:val="none" w:sz="0" w:space="0" w:color="auto"/>
      </w:divBdr>
    </w:div>
    <w:div w:id="1882937320">
      <w:bodyDiv w:val="1"/>
      <w:marLeft w:val="0"/>
      <w:marRight w:val="0"/>
      <w:marTop w:val="0"/>
      <w:marBottom w:val="0"/>
      <w:divBdr>
        <w:top w:val="none" w:sz="0" w:space="0" w:color="auto"/>
        <w:left w:val="none" w:sz="0" w:space="0" w:color="auto"/>
        <w:bottom w:val="none" w:sz="0" w:space="0" w:color="auto"/>
        <w:right w:val="none" w:sz="0" w:space="0" w:color="auto"/>
      </w:divBdr>
    </w:div>
    <w:div w:id="20889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e.wikipedia.org/wiki/Sibirien" TargetMode="External"/><Relationship Id="rId4" Type="http://schemas.openxmlformats.org/officeDocument/2006/relationships/settings" Target="settings.xml"/><Relationship Id="rId9" Type="http://schemas.openxmlformats.org/officeDocument/2006/relationships/hyperlink" Target="https://de.wikipedia.org/wiki/Gula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FD8C-81C0-4D0E-B003-163F5B5B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9718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2023-06-28T12:03:00Z</dcterms:created>
  <dcterms:modified xsi:type="dcterms:W3CDTF">2023-07-03T06:27:00Z</dcterms:modified>
</cp:coreProperties>
</file>